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431165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154305</wp:posOffset>
            </wp:positionV>
            <wp:extent cx="2115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158750</wp:posOffset>
            </wp:positionV>
            <wp:extent cx="21151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3860" w:right="2540" w:hanging="3839"/>
        <w:spacing w:after="0" w:line="510" w:lineRule="auto"/>
        <w:tabs>
          <w:tab w:leader="none" w:pos="48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___________to___________.</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167005</wp:posOffset>
            </wp:positionV>
            <wp:extent cx="2115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ASSEMBLY BIOSCIENCES,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7"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4540" w:type="dxa"/>
            <w:vAlign w:val="bottom"/>
            <w:gridSpan w:val="2"/>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220" w:type="dxa"/>
            <w:vAlign w:val="bottom"/>
          </w:tcPr>
          <w:p>
            <w:pPr>
              <w:spacing w:after="0"/>
              <w:rPr>
                <w:sz w:val="17"/>
                <w:szCs w:val="17"/>
                <w:color w:val="auto"/>
              </w:rPr>
            </w:pPr>
          </w:p>
        </w:tc>
        <w:tc>
          <w:tcPr>
            <w:tcW w:w="4480" w:type="dxa"/>
            <w:vAlign w:val="bottom"/>
            <w:gridSpan w:val="2"/>
          </w:tcPr>
          <w:p>
            <w:pPr>
              <w:jc w:val="right"/>
              <w:ind w:right="2342"/>
              <w:spacing w:after="0"/>
              <w:rPr>
                <w:sz w:val="20"/>
                <w:szCs w:val="20"/>
                <w:color w:val="auto"/>
              </w:rPr>
            </w:pPr>
            <w:r>
              <w:rPr>
                <w:rFonts w:ascii="Times New Roman" w:cs="Times New Roman" w:eastAsia="Times New Roman" w:hAnsi="Times New Roman"/>
                <w:sz w:val="16"/>
                <w:szCs w:val="16"/>
                <w:b w:val="1"/>
                <w:bCs w:val="1"/>
                <w:color w:val="auto"/>
              </w:rPr>
              <w:t>20-8729264</w:t>
            </w:r>
          </w:p>
        </w:tc>
      </w:tr>
      <w:tr>
        <w:trPr>
          <w:trHeight w:val="202"/>
        </w:trPr>
        <w:tc>
          <w:tcPr>
            <w:tcW w:w="4540" w:type="dxa"/>
            <w:vAlign w:val="bottom"/>
            <w:gridSpan w:val="2"/>
          </w:tcPr>
          <w:p>
            <w:pPr>
              <w:jc w:val="center"/>
              <w:ind w:left="10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20" w:type="dxa"/>
            <w:vAlign w:val="bottom"/>
          </w:tcPr>
          <w:p>
            <w:pPr>
              <w:spacing w:after="0"/>
              <w:rPr>
                <w:sz w:val="17"/>
                <w:szCs w:val="17"/>
                <w:color w:val="auto"/>
              </w:rPr>
            </w:pPr>
          </w:p>
        </w:tc>
        <w:tc>
          <w:tcPr>
            <w:tcW w:w="4480" w:type="dxa"/>
            <w:vAlign w:val="bottom"/>
            <w:gridSpan w:val="2"/>
          </w:tcPr>
          <w:p>
            <w:pPr>
              <w:jc w:val="center"/>
              <w:ind w:right="1042"/>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4540" w:type="dxa"/>
            <w:vAlign w:val="bottom"/>
            <w:gridSpan w:val="2"/>
          </w:tcPr>
          <w:p>
            <w:pPr>
              <w:jc w:val="center"/>
              <w:ind w:left="10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395"/>
        </w:trPr>
        <w:tc>
          <w:tcPr>
            <w:tcW w:w="4540" w:type="dxa"/>
            <w:vAlign w:val="bottom"/>
            <w:gridSpan w:val="2"/>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rPr>
              <w:t>331 Oyster Point Blvd., Fourth Floor</w:t>
            </w:r>
          </w:p>
        </w:tc>
        <w:tc>
          <w:tcPr>
            <w:tcW w:w="2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4"/>
        </w:trPr>
        <w:tc>
          <w:tcPr>
            <w:tcW w:w="4540" w:type="dxa"/>
            <w:vAlign w:val="bottom"/>
            <w:gridSpan w:val="2"/>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2220" w:type="dxa"/>
            <w:vAlign w:val="bottom"/>
          </w:tcPr>
          <w:p>
            <w:pPr>
              <w:spacing w:after="0"/>
              <w:rPr>
                <w:sz w:val="17"/>
                <w:szCs w:val="17"/>
                <w:color w:val="auto"/>
              </w:rPr>
            </w:pPr>
          </w:p>
        </w:tc>
        <w:tc>
          <w:tcPr>
            <w:tcW w:w="4480" w:type="dxa"/>
            <w:vAlign w:val="bottom"/>
            <w:gridSpan w:val="2"/>
          </w:tcPr>
          <w:p>
            <w:pPr>
              <w:jc w:val="right"/>
              <w:ind w:right="2522"/>
              <w:spacing w:after="0"/>
              <w:rPr>
                <w:sz w:val="20"/>
                <w:szCs w:val="20"/>
                <w:color w:val="auto"/>
              </w:rPr>
            </w:pPr>
            <w:r>
              <w:rPr>
                <w:rFonts w:ascii="Times New Roman" w:cs="Times New Roman" w:eastAsia="Times New Roman" w:hAnsi="Times New Roman"/>
                <w:sz w:val="16"/>
                <w:szCs w:val="16"/>
                <w:b w:val="1"/>
                <w:bCs w:val="1"/>
                <w:color w:val="auto"/>
              </w:rPr>
              <w:t>94080</w:t>
            </w:r>
          </w:p>
        </w:tc>
      </w:tr>
      <w:tr>
        <w:trPr>
          <w:trHeight w:val="210"/>
        </w:trPr>
        <w:tc>
          <w:tcPr>
            <w:tcW w:w="4540" w:type="dxa"/>
            <w:vAlign w:val="bottom"/>
            <w:gridSpan w:val="2"/>
          </w:tcPr>
          <w:p>
            <w:pPr>
              <w:jc w:val="center"/>
              <w:ind w:left="10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tcPr>
          <w:p>
            <w:pPr>
              <w:jc w:val="center"/>
              <w:ind w:right="1582"/>
              <w:spacing w:after="0"/>
              <w:rPr>
                <w:sz w:val="20"/>
                <w:szCs w:val="20"/>
                <w:color w:val="auto"/>
              </w:rPr>
            </w:pPr>
            <w:r>
              <w:rPr>
                <w:rFonts w:ascii="Times New Roman" w:cs="Times New Roman" w:eastAsia="Times New Roman" w:hAnsi="Times New Roman"/>
                <w:sz w:val="16"/>
                <w:szCs w:val="16"/>
                <w:color w:val="auto"/>
              </w:rPr>
              <w:t>(zip code)</w:t>
            </w:r>
          </w:p>
        </w:tc>
      </w:tr>
      <w:tr>
        <w:trPr>
          <w:trHeight w:val="370"/>
        </w:trPr>
        <w:tc>
          <w:tcPr>
            <w:tcW w:w="3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(833) 509-4583</w:t>
            </w:r>
          </w:p>
        </w:tc>
        <w:tc>
          <w:tcPr>
            <w:tcW w:w="5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10"/>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35"/>
        </w:trPr>
        <w:tc>
          <w:tcPr>
            <w:tcW w:w="39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960" w:type="dxa"/>
            <w:vAlign w:val="bottom"/>
          </w:tcPr>
          <w:p>
            <w:pPr>
              <w:spacing w:after="0"/>
              <w:rPr>
                <w:sz w:val="20"/>
                <w:szCs w:val="20"/>
                <w:color w:val="auto"/>
              </w:rPr>
            </w:pPr>
          </w:p>
        </w:tc>
      </w:tr>
      <w:tr>
        <w:trPr>
          <w:trHeight w:val="284"/>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5"/>
        </w:trPr>
        <w:tc>
          <w:tcPr>
            <w:tcW w:w="4540" w:type="dxa"/>
            <w:vAlign w:val="bottom"/>
            <w:tcBorders>
              <w:bottom w:val="single" w:sz="8" w:color="auto"/>
            </w:tcBorders>
            <w:gridSpan w:val="2"/>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spacing w:after="0"/>
              <w:rPr>
                <w:sz w:val="17"/>
                <w:szCs w:val="17"/>
                <w:color w:val="auto"/>
              </w:rPr>
            </w:pPr>
          </w:p>
        </w:tc>
      </w:tr>
      <w:tr>
        <w:trPr>
          <w:trHeight w:val="223"/>
        </w:trPr>
        <w:tc>
          <w:tcPr>
            <w:tcW w:w="454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Title of each class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520" w:type="dxa"/>
            <w:vAlign w:val="bottom"/>
            <w:tcBorders>
              <w:bottom w:val="single" w:sz="8" w:color="auto"/>
            </w:tcBorders>
          </w:tcPr>
          <w:p>
            <w:pPr>
              <w:spacing w:after="0"/>
              <w:rPr>
                <w:sz w:val="19"/>
                <w:szCs w:val="19"/>
                <w:color w:val="auto"/>
              </w:rPr>
            </w:pPr>
          </w:p>
        </w:tc>
        <w:tc>
          <w:tcPr>
            <w:tcW w:w="3960" w:type="dxa"/>
            <w:vAlign w:val="bottom"/>
            <w:tcBorders>
              <w:bottom w:val="single" w:sz="8" w:color="auto"/>
              <w:right w:val="single" w:sz="8" w:color="auto"/>
            </w:tcBorders>
          </w:tcPr>
          <w:p>
            <w:pPr>
              <w:jc w:val="center"/>
              <w:ind w:right="462"/>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3"/>
        </w:trPr>
        <w:tc>
          <w:tcPr>
            <w:tcW w:w="454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ASMB</w:t>
            </w:r>
          </w:p>
        </w:tc>
        <w:tc>
          <w:tcPr>
            <w:tcW w:w="520" w:type="dxa"/>
            <w:vAlign w:val="bottom"/>
            <w:tcBorders>
              <w:bottom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jc w:val="center"/>
              <w:ind w:right="482"/>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75"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176"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ind w:right="2720"/>
        <w:spacing w:after="0" w:line="29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3, 2022, there were 48,779,985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2022 (unaudited) and December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for the Three and Nine Months Ended September 30,</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6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4"/>
              </w:rPr>
              <w:t>2022 and 2021 (unaudited)</w:t>
            </w:r>
          </w:p>
        </w:tc>
        <w:tc>
          <w:tcPr>
            <w:tcW w:w="20" w:type="dxa"/>
            <w:vAlign w:val="bottom"/>
            <w:tcBorders>
              <w:top w:val="single" w:sz="8" w:color="0000FF"/>
              <w:bottom w:val="single" w:sz="8" w:color="0000EE"/>
            </w:tcBorders>
          </w:tcPr>
          <w:p>
            <w:pPr>
              <w:spacing w:after="0"/>
              <w:rPr>
                <w:sz w:val="14"/>
                <w:szCs w:val="14"/>
                <w:color w:val="auto"/>
              </w:rPr>
            </w:pPr>
          </w:p>
        </w:tc>
        <w:tc>
          <w:tcPr>
            <w:tcW w:w="74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6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4"/>
              </w:rPr>
              <w:t>2022 and 2021 (unaudited)</w:t>
            </w:r>
          </w:p>
        </w:tc>
        <w:tc>
          <w:tcPr>
            <w:tcW w:w="20" w:type="dxa"/>
            <w:vAlign w:val="bottom"/>
            <w:tcBorders>
              <w:top w:val="single" w:sz="8" w:color="0000FF"/>
              <w:bottom w:val="single" w:sz="8" w:color="0000EE"/>
            </w:tcBorders>
          </w:tcPr>
          <w:p>
            <w:pPr>
              <w:spacing w:after="0"/>
              <w:rPr>
                <w:sz w:val="14"/>
                <w:szCs w:val="14"/>
                <w:color w:val="auto"/>
              </w:rPr>
            </w:pPr>
          </w:p>
        </w:tc>
        <w:tc>
          <w:tcPr>
            <w:tcW w:w="7180" w:type="dxa"/>
            <w:vAlign w:val="bottom"/>
            <w:tcBorders>
              <w:top w:val="single" w:sz="8" w:color="0000FF"/>
            </w:tcBorders>
            <w:gridSpan w:val="9"/>
          </w:tcPr>
          <w:p>
            <w:pPr>
              <w:spacing w:after="0"/>
              <w:rPr>
                <w:sz w:val="14"/>
                <w:szCs w:val="14"/>
                <w:color w:val="auto"/>
              </w:rPr>
            </w:pPr>
          </w:p>
        </w:tc>
        <w:tc>
          <w:tcPr>
            <w:tcW w:w="280" w:type="dxa"/>
            <w:vAlign w:val="bottom"/>
            <w:gridSpan w:val="2"/>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2022 and 2021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71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66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2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2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958"/>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References to Assembly Biosciences, Inc.</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Throughout this Quarterly Report on Form 10-Q, the “Company,” “Assembly,” “we,” “us,” and “our,” except where the context requires otherwise, refer to Assembly Biosciences, Inc. and its consolidated subsidiaries, and “our board of directors” or “the Board” refers to the board of directors of Assembly Biosciences, Inc.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subject to certain risks and uncertainties, including, without limitation, those set forth in Part I, Item 1A of our Annual Report on Form 10-K filed with the U.S. Securities and Exchanges Commission (SEC) on March 11, 2022 (2021 Annual Report) and Part II, Item 1A of this Quarterly Report on Form 10-Q under the heading “Risk Factors,” that could cause actual results to materially differ. Such risks and uncertainties include, among other things:</w:t>
      </w:r>
    </w:p>
    <w:p>
      <w:pPr>
        <w:spacing w:after="0" w:line="130" w:lineRule="exact"/>
        <w:rPr>
          <w:sz w:val="20"/>
          <w:szCs w:val="20"/>
          <w:color w:val="auto"/>
        </w:rPr>
      </w:pPr>
    </w:p>
    <w:p>
      <w:pPr>
        <w:jc w:val="both"/>
        <w:ind w:left="760" w:hanging="378"/>
        <w:spacing w:after="0" w:line="22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strategic plan announced on July 20, 2022 to (1) discontinue further development of our first-generation core inhibitor, vebicorvir; (2) advance our next generation core inhibitors, ABI-H3733 and ABI-4334, in clinical studies; (3) prioritize additional research activities targeting a small molecule hepatitis B virus/hepatitis delta virus entry inhibitor, a small molecule interferon-α receptor agonist, a herpes simplex virus type 2 long-acting helicase inhibitor for the treatment of recurrent genital herpes and a pan-herpes polymerase inhibitor to treat multiple transplant-associated herpesviruses infections; and (4) reduce the size of our organization to align with the foregoing;</w:t>
      </w:r>
    </w:p>
    <w:p>
      <w:pPr>
        <w:spacing w:after="0" w:line="13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the Chief Executive Officer transition announced on October 5, 2022;</w:t>
      </w:r>
    </w:p>
    <w:p>
      <w:pPr>
        <w:spacing w:after="0" w:line="157"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clinical trials involving our therapeutic product candidates, including studies contemplated by our clinical collaboration agreements, in the currently anticipated timeframes;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data from clinical studies may not warrant further development of our product candidates;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nonclinical data presented at conferences may not differentiate our product candidates from other companies’ candidates;</w:t>
      </w:r>
    </w:p>
    <w:p>
      <w:pPr>
        <w:spacing w:after="0" w:line="157"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nonclinical studies may not be representative of disease behavior in a clinical setting and may not be predictive of the outcomes of clinical studies;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financial resources necessary to continue our clinical studies and fund business operations;</w:t>
      </w:r>
    </w:p>
    <w:p>
      <w:pPr>
        <w:spacing w:after="0" w:line="157" w:lineRule="exact"/>
        <w:rPr>
          <w:rFonts w:ascii="Times New Roman" w:cs="Times New Roman" w:eastAsia="Times New Roman" w:hAnsi="Times New Roman"/>
          <w:sz w:val="18"/>
          <w:szCs w:val="18"/>
          <w:color w:val="auto"/>
        </w:rPr>
      </w:pPr>
    </w:p>
    <w:p>
      <w:pPr>
        <w:jc w:val="both"/>
        <w:ind w:left="760" w:hanging="378"/>
        <w:spacing w:after="0" w:line="23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and commercialization of our hepatitis B virus (HBV) core inhibitor product candidates, if successful, in the China territory will be dependent on, and subject to, our collaboration agreement governing our HBV core inhibitor-related activity in the China territory; and</w:t>
      </w:r>
    </w:p>
    <w:p>
      <w:pPr>
        <w:spacing w:after="0" w:line="131"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that the COVID-19 pandemic may have on our business and operations, including initiation, enrollment and continuation of our clinical studies or timing of discussions with regulatory authorities.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urged to consider statements that include the words may, will, would, could, should, might, believes, hopes, estimates, projects, potential, expects,</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w:t>
      </w:r>
    </w:p>
    <w:p>
      <w:pPr>
        <w:spacing w:after="0" w:line="218" w:lineRule="auto"/>
        <w:rPr>
          <w:sz w:val="20"/>
          <w:szCs w:val="20"/>
          <w:color w:val="auto"/>
        </w:rPr>
      </w:pPr>
      <w:r>
        <w:rPr>
          <w:rFonts w:ascii="Times New Roman" w:cs="Times New Roman" w:eastAsia="Times New Roman" w:hAnsi="Times New Roman"/>
          <w:sz w:val="18"/>
          <w:szCs w:val="18"/>
          <w:color w:val="auto"/>
        </w:rPr>
        <w:t>studies involving our therapeutic product candidates; our ability to successfully complete, and receive favorable results in, clinical trials for our product candidates; and the expected impact of the COVID-19 pandemic on our business and operations. We intend such forward-looking statements to be covered</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w:t>
      </w:r>
    </w:p>
    <w:p>
      <w:pPr>
        <w:spacing w:after="0"/>
        <w:rPr>
          <w:sz w:val="20"/>
          <w:szCs w:val="20"/>
          <w:color w:val="auto"/>
        </w:rPr>
      </w:pPr>
      <w:r>
        <w:rPr>
          <w:rFonts w:ascii="Times New Roman" w:cs="Times New Roman" w:eastAsia="Times New Roman" w:hAnsi="Times New Roman"/>
          <w:sz w:val="18"/>
          <w:szCs w:val="18"/>
          <w:color w:val="auto"/>
        </w:rPr>
        <w:t>statements, whether as a result of new information, future events or otherwise.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ind w:left="3480"/>
        <w:spacing w:after="0" w:line="209"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 and par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54,673</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45,627</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 - short-term</w:t>
            </w:r>
          </w:p>
        </w:tc>
        <w:tc>
          <w:tcPr>
            <w:tcW w:w="20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53,978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101,000</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from collaborations</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5,181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7,241</w:t>
            </w: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115,078</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154,204</w:t>
            </w:r>
          </w:p>
        </w:tc>
      </w:tr>
      <w:tr>
        <w:trPr>
          <w:trHeight w:val="209"/>
        </w:trPr>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 long-term</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27,972</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1,139</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3,958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6,042</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1,703</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121,516</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191,060</w:t>
            </w:r>
          </w:p>
        </w:tc>
      </w:tr>
      <w:tr>
        <w:trPr>
          <w:trHeight w:val="196"/>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1,942</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2,659</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0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3,400</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5,686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6,863</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short-term</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3,371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3,151</w:t>
            </w: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15,461</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16,073</w:t>
            </w:r>
          </w:p>
        </w:tc>
      </w:tr>
      <w:tr>
        <w:trPr>
          <w:trHeight w:val="209"/>
        </w:trPr>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2,733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2,733</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918</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3,325</w:t>
            </w: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19,112</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22,131</w:t>
            </w:r>
          </w:p>
        </w:tc>
      </w:tr>
      <w:tr>
        <w:trPr>
          <w:trHeight w:val="209"/>
        </w:trPr>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0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70"/>
        </w:trPr>
        <w:tc>
          <w:tcPr>
            <w:tcW w:w="76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$0.001 par value; 150,000,000 and 100,000,000 shares authorized as of September</w:t>
            </w: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89"/>
        </w:trPr>
        <w:tc>
          <w:tcPr>
            <w:tcW w:w="76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30, 2022 and December 31, 2021, respectively; 48,481,194 and 48,120,437 shares issued and</w:t>
            </w:r>
          </w:p>
        </w:tc>
        <w:tc>
          <w:tcPr>
            <w:tcW w:w="2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r>
      <w:tr>
        <w:trPr>
          <w:trHeight w:val="234"/>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September 30, 2022 and December 31, 2021, respectively</w:t>
            </w:r>
          </w:p>
        </w:tc>
        <w:tc>
          <w:tcPr>
            <w:tcW w:w="20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805,480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800,728</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(702,125 )</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(631,428 )</w:t>
            </w:r>
          </w:p>
        </w:tc>
      </w:tr>
      <w:tr>
        <w:trPr>
          <w:trHeight w:val="209"/>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102,404</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168,929</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121,516</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191,060</w:t>
            </w:r>
          </w:p>
        </w:tc>
      </w:tr>
      <w:tr>
        <w:trPr>
          <w:trHeight w:val="20"/>
        </w:trPr>
        <w:tc>
          <w:tcPr>
            <w:tcW w:w="7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-4331970</wp:posOffset>
            </wp:positionV>
            <wp:extent cx="11112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-3493135</wp:posOffset>
            </wp:positionV>
            <wp:extent cx="11112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-2362835</wp:posOffset>
            </wp:positionV>
            <wp:extent cx="11112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-1797685</wp:posOffset>
            </wp:positionV>
            <wp:extent cx="11112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-170815</wp:posOffset>
            </wp:positionV>
            <wp:extent cx="1111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 w:name="page5"/>
    <w:bookmarkEnd w:id="4"/>
    <w:p>
      <w:pPr>
        <w:ind w:left="426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2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for share and per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5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6,254</w:t>
            </w:r>
          </w:p>
        </w:tc>
      </w:tr>
      <w:tr>
        <w:trPr>
          <w:trHeight w:val="216"/>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18,130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53,777</w:t>
            </w:r>
          </w:p>
        </w:tc>
      </w:tr>
      <w:tr>
        <w:trPr>
          <w:trHeight w:val="216"/>
        </w:trPr>
        <w:tc>
          <w:tcPr>
            <w:tcW w:w="5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5,271</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6,655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18,009</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22,276</w:t>
            </w: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23,401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25,129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71,136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76,053</w:t>
            </w:r>
          </w:p>
        </w:tc>
      </w:tr>
      <w:tr>
        <w:trPr>
          <w:trHeight w:val="209"/>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(23,401 )</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(18,875 )</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(71,136 )</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(69,799 )</w:t>
            </w:r>
          </w:p>
        </w:tc>
      </w:tr>
      <w:tr>
        <w:trPr>
          <w:trHeight w:val="209"/>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r>
      <w:tr>
        <w:trPr>
          <w:trHeight w:val="209"/>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(23,145 )</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(18,803 )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(70,697 )</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(69,598 )</w:t>
            </w:r>
          </w:p>
        </w:tc>
      </w:tr>
      <w:tr>
        <w:trPr>
          <w:trHeight w:val="20"/>
        </w:trPr>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(23,146 )</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(18,818 )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(71,277 )</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(69,616 )</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5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0"/>
        </w:trPr>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1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48,448,399</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45,569,276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48,289,501</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42,725,109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-2071370</wp:posOffset>
            </wp:positionV>
            <wp:extent cx="7683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-2071370</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-2071370</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-1780540</wp:posOffset>
            </wp:positionV>
            <wp:extent cx="7683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-1780540</wp:posOffset>
            </wp:positionV>
            <wp:extent cx="6858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-1780540</wp:posOffset>
            </wp:positionV>
            <wp:extent cx="68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-1215390</wp:posOffset>
            </wp:positionV>
            <wp:extent cx="768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-1215390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-1215390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-633095</wp:posOffset>
            </wp:positionV>
            <wp:extent cx="7683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-633095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-633095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-24765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-7620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ind w:left="426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for share amounts)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 Period</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gridSpan w:val="8"/>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bottom w:val="single" w:sz="8" w:color="auto"/>
            </w:tcBorders>
            <w:gridSpan w:val="8"/>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7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June 30, 2022</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48,362,736</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48</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803,910</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(998 )</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(678,980 )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123,980</w:t>
            </w:r>
          </w:p>
        </w:tc>
        <w:tc>
          <w:tcPr>
            <w:tcW w:w="0" w:type="dxa"/>
            <w:vAlign w:val="bottom"/>
          </w:tcPr>
          <w:p>
            <w:pPr>
              <w:spacing w:after="0"/>
              <w:rPr>
                <w:sz w:val="1"/>
                <w:szCs w:val="1"/>
                <w:color w:val="auto"/>
              </w:rPr>
            </w:pPr>
          </w:p>
        </w:tc>
      </w:tr>
      <w:tr>
        <w:trPr>
          <w:trHeight w:val="154"/>
        </w:trPr>
        <w:tc>
          <w:tcPr>
            <w:tcW w:w="34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restricted stock units (RSUs)</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118,458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EF1FE"/>
          </w:tcPr>
          <w:p>
            <w:pPr>
              <w:ind w:left="20"/>
              <w:spacing w:after="0"/>
              <w:rPr>
                <w:sz w:val="20"/>
                <w:szCs w:val="20"/>
                <w:color w:val="auto"/>
              </w:rPr>
            </w:pPr>
            <w:r>
              <w:rPr>
                <w:rFonts w:ascii="Times New Roman" w:cs="Times New Roman" w:eastAsia="Times New Roman" w:hAnsi="Times New Roman"/>
                <w:sz w:val="17"/>
                <w:szCs w:val="17"/>
                <w:color w:val="auto"/>
              </w:rPr>
              <w:t>Unrealized loss on marketable debt securities</w:t>
            </w:r>
          </w:p>
        </w:tc>
        <w:tc>
          <w:tcPr>
            <w:tcW w:w="1180" w:type="dxa"/>
            <w:vAlign w:val="bottom"/>
            <w:gridSpan w:val="2"/>
            <w:shd w:val="clear" w:color="auto" w:fill="CEF1FE"/>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EF1FE"/>
          </w:tcPr>
          <w:p>
            <w:pPr>
              <w:spacing w:after="0"/>
              <w:rPr>
                <w:sz w:val="17"/>
                <w:szCs w:val="17"/>
                <w:color w:val="auto"/>
              </w:rPr>
            </w:pPr>
          </w:p>
        </w:tc>
        <w:tc>
          <w:tcPr>
            <w:tcW w:w="60" w:type="dxa"/>
            <w:vAlign w:val="bottom"/>
            <w:shd w:val="clear" w:color="auto" w:fill="CEF1FE"/>
          </w:tcPr>
          <w:p>
            <w:pPr>
              <w:spacing w:after="0"/>
              <w:rPr>
                <w:sz w:val="17"/>
                <w:szCs w:val="17"/>
                <w:color w:val="auto"/>
              </w:rPr>
            </w:pPr>
          </w:p>
        </w:tc>
        <w:tc>
          <w:tcPr>
            <w:tcW w:w="60" w:type="dxa"/>
            <w:vAlign w:val="bottom"/>
            <w:shd w:val="clear" w:color="auto" w:fill="CEF1FE"/>
          </w:tcPr>
          <w:p>
            <w:pPr>
              <w:spacing w:after="0"/>
              <w:rPr>
                <w:sz w:val="17"/>
                <w:szCs w:val="17"/>
                <w:color w:val="auto"/>
              </w:rPr>
            </w:pPr>
          </w:p>
        </w:tc>
        <w:tc>
          <w:tcPr>
            <w:tcW w:w="120" w:type="dxa"/>
            <w:vAlign w:val="bottom"/>
            <w:shd w:val="clear" w:color="auto" w:fill="CEF1FE"/>
          </w:tcPr>
          <w:p>
            <w:pPr>
              <w:spacing w:after="0"/>
              <w:rPr>
                <w:sz w:val="17"/>
                <w:szCs w:val="17"/>
                <w:color w:val="auto"/>
              </w:rPr>
            </w:pPr>
          </w:p>
        </w:tc>
        <w:tc>
          <w:tcPr>
            <w:tcW w:w="740" w:type="dxa"/>
            <w:vAlign w:val="bottom"/>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EF1FE"/>
          </w:tcPr>
          <w:p>
            <w:pPr>
              <w:spacing w:after="0"/>
              <w:rPr>
                <w:sz w:val="17"/>
                <w:szCs w:val="17"/>
                <w:color w:val="auto"/>
              </w:rPr>
            </w:pPr>
          </w:p>
        </w:tc>
        <w:tc>
          <w:tcPr>
            <w:tcW w:w="10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800" w:type="dxa"/>
            <w:vAlign w:val="bottom"/>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EF1FE"/>
          </w:tcPr>
          <w:p>
            <w:pPr>
              <w:spacing w:after="0"/>
              <w:rPr>
                <w:sz w:val="17"/>
                <w:szCs w:val="17"/>
                <w:color w:val="auto"/>
              </w:rPr>
            </w:pPr>
          </w:p>
        </w:tc>
        <w:tc>
          <w:tcPr>
            <w:tcW w:w="60" w:type="dxa"/>
            <w:vAlign w:val="bottom"/>
            <w:shd w:val="clear" w:color="auto" w:fill="CEF1FE"/>
          </w:tcPr>
          <w:p>
            <w:pPr>
              <w:spacing w:after="0"/>
              <w:rPr>
                <w:sz w:val="17"/>
                <w:szCs w:val="17"/>
                <w:color w:val="auto"/>
              </w:rPr>
            </w:pPr>
          </w:p>
        </w:tc>
        <w:tc>
          <w:tcPr>
            <w:tcW w:w="180" w:type="dxa"/>
            <w:vAlign w:val="bottom"/>
            <w:shd w:val="clear" w:color="auto" w:fill="CEF1FE"/>
          </w:tcPr>
          <w:p>
            <w:pPr>
              <w:spacing w:after="0"/>
              <w:rPr>
                <w:sz w:val="17"/>
                <w:szCs w:val="17"/>
                <w:color w:val="auto"/>
              </w:rPr>
            </w:pPr>
          </w:p>
        </w:tc>
        <w:tc>
          <w:tcPr>
            <w:tcW w:w="142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40" w:type="dxa"/>
            <w:vAlign w:val="bottom"/>
            <w:shd w:val="clear" w:color="auto" w:fill="CEF1FE"/>
          </w:tcPr>
          <w:p>
            <w:pPr>
              <w:spacing w:after="0"/>
              <w:rPr>
                <w:sz w:val="17"/>
                <w:szCs w:val="17"/>
                <w:color w:val="auto"/>
              </w:rPr>
            </w:pPr>
          </w:p>
        </w:tc>
        <w:tc>
          <w:tcPr>
            <w:tcW w:w="80" w:type="dxa"/>
            <w:vAlign w:val="bottom"/>
            <w:shd w:val="clear" w:color="auto" w:fill="CEF1FE"/>
          </w:tcPr>
          <w:p>
            <w:pPr>
              <w:spacing w:after="0"/>
              <w:rPr>
                <w:sz w:val="17"/>
                <w:szCs w:val="17"/>
                <w:color w:val="auto"/>
              </w:rPr>
            </w:pPr>
          </w:p>
        </w:tc>
        <w:tc>
          <w:tcPr>
            <w:tcW w:w="2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160" w:type="dxa"/>
            <w:vAlign w:val="bottom"/>
            <w:shd w:val="clear" w:color="auto" w:fill="CEF1FE"/>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16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0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1,570</w:t>
            </w:r>
          </w:p>
        </w:tc>
        <w:tc>
          <w:tcPr>
            <w:tcW w:w="0" w:type="dxa"/>
            <w:vAlign w:val="bottom"/>
          </w:tcPr>
          <w:p>
            <w:pPr>
              <w:spacing w:after="0"/>
              <w:rPr>
                <w:sz w:val="1"/>
                <w:szCs w:val="1"/>
                <w:color w:val="auto"/>
              </w:rPr>
            </w:pPr>
          </w:p>
        </w:tc>
      </w:tr>
      <w:tr>
        <w:trPr>
          <w:trHeight w:val="202"/>
        </w:trPr>
        <w:tc>
          <w:tcPr>
            <w:tcW w:w="3400" w:type="dxa"/>
            <w:vAlign w:val="bottom"/>
            <w:tcBorders>
              <w:bottom w:val="single" w:sz="8" w:color="CEF1FE"/>
            </w:tcBorders>
            <w:gridSpan w:val="2"/>
            <w:shd w:val="clear" w:color="auto" w:fill="CEF1FE"/>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80" w:type="dxa"/>
            <w:vAlign w:val="bottom"/>
            <w:tcBorders>
              <w:bottom w:val="single" w:sz="8" w:color="auto"/>
            </w:tcBorders>
            <w:gridSpan w:val="2"/>
            <w:shd w:val="clear" w:color="auto" w:fill="CEF1FE"/>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shd w:val="clear" w:color="auto" w:fill="CEF1FE"/>
          </w:tcPr>
          <w:p>
            <w:pPr>
              <w:spacing w:after="0"/>
              <w:rPr>
                <w:sz w:val="17"/>
                <w:szCs w:val="17"/>
                <w:color w:val="auto"/>
              </w:rPr>
            </w:pPr>
          </w:p>
        </w:tc>
        <w:tc>
          <w:tcPr>
            <w:tcW w:w="60" w:type="dxa"/>
            <w:vAlign w:val="bottom"/>
            <w:tcBorders>
              <w:bottom w:val="single" w:sz="8" w:color="CEF1FE"/>
            </w:tcBorders>
            <w:shd w:val="clear" w:color="auto" w:fill="CEF1FE"/>
          </w:tcPr>
          <w:p>
            <w:pPr>
              <w:spacing w:after="0"/>
              <w:rPr>
                <w:sz w:val="17"/>
                <w:szCs w:val="17"/>
                <w:color w:val="auto"/>
              </w:rPr>
            </w:pPr>
          </w:p>
        </w:tc>
        <w:tc>
          <w:tcPr>
            <w:tcW w:w="60" w:type="dxa"/>
            <w:vAlign w:val="bottom"/>
            <w:tcBorders>
              <w:bottom w:val="single" w:sz="8" w:color="CEF1FE"/>
            </w:tcBorders>
            <w:shd w:val="clear" w:color="auto" w:fill="CEF1FE"/>
          </w:tcPr>
          <w:p>
            <w:pPr>
              <w:spacing w:after="0"/>
              <w:rPr>
                <w:sz w:val="17"/>
                <w:szCs w:val="17"/>
                <w:color w:val="auto"/>
              </w:rPr>
            </w:pPr>
          </w:p>
        </w:tc>
        <w:tc>
          <w:tcPr>
            <w:tcW w:w="120" w:type="dxa"/>
            <w:vAlign w:val="bottom"/>
            <w:tcBorders>
              <w:bottom w:val="single" w:sz="8" w:color="auto"/>
            </w:tcBorders>
            <w:shd w:val="clear" w:color="auto" w:fill="CEF1FE"/>
          </w:tcPr>
          <w:p>
            <w:pPr>
              <w:spacing w:after="0"/>
              <w:rPr>
                <w:sz w:val="17"/>
                <w:szCs w:val="17"/>
                <w:color w:val="auto"/>
              </w:rPr>
            </w:pPr>
          </w:p>
        </w:tc>
        <w:tc>
          <w:tcPr>
            <w:tcW w:w="740" w:type="dxa"/>
            <w:vAlign w:val="bottom"/>
            <w:tcBorders>
              <w:bottom w:val="single" w:sz="8" w:color="auto"/>
            </w:tcBorders>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CEF1FE"/>
          </w:tcPr>
          <w:p>
            <w:pPr>
              <w:spacing w:after="0"/>
              <w:rPr>
                <w:sz w:val="17"/>
                <w:szCs w:val="17"/>
                <w:color w:val="auto"/>
              </w:rPr>
            </w:pPr>
          </w:p>
        </w:tc>
        <w:tc>
          <w:tcPr>
            <w:tcW w:w="100" w:type="dxa"/>
            <w:vAlign w:val="bottom"/>
            <w:tcBorders>
              <w:bottom w:val="single" w:sz="8" w:color="CEF1FE"/>
            </w:tcBorders>
            <w:shd w:val="clear" w:color="auto" w:fill="CEF1FE"/>
          </w:tcPr>
          <w:p>
            <w:pPr>
              <w:spacing w:after="0"/>
              <w:rPr>
                <w:sz w:val="17"/>
                <w:szCs w:val="17"/>
                <w:color w:val="auto"/>
              </w:rPr>
            </w:pPr>
          </w:p>
        </w:tc>
        <w:tc>
          <w:tcPr>
            <w:tcW w:w="140" w:type="dxa"/>
            <w:vAlign w:val="bottom"/>
            <w:tcBorders>
              <w:bottom w:val="single" w:sz="8" w:color="auto"/>
            </w:tcBorders>
            <w:shd w:val="clear" w:color="auto" w:fill="CEF1FE"/>
          </w:tcPr>
          <w:p>
            <w:pPr>
              <w:spacing w:after="0"/>
              <w:rPr>
                <w:sz w:val="17"/>
                <w:szCs w:val="17"/>
                <w:color w:val="auto"/>
              </w:rPr>
            </w:pPr>
          </w:p>
        </w:tc>
        <w:tc>
          <w:tcPr>
            <w:tcW w:w="800" w:type="dxa"/>
            <w:vAlign w:val="bottom"/>
            <w:tcBorders>
              <w:bottom w:val="single" w:sz="8" w:color="auto"/>
            </w:tcBorders>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EF1FE"/>
            </w:tcBorders>
            <w:shd w:val="clear" w:color="auto" w:fill="CEF1FE"/>
          </w:tcPr>
          <w:p>
            <w:pPr>
              <w:spacing w:after="0"/>
              <w:rPr>
                <w:sz w:val="17"/>
                <w:szCs w:val="17"/>
                <w:color w:val="auto"/>
              </w:rPr>
            </w:pPr>
          </w:p>
        </w:tc>
        <w:tc>
          <w:tcPr>
            <w:tcW w:w="60" w:type="dxa"/>
            <w:vAlign w:val="bottom"/>
            <w:tcBorders>
              <w:bottom w:val="single" w:sz="8" w:color="CEF1FE"/>
            </w:tcBorders>
            <w:shd w:val="clear" w:color="auto" w:fill="CEF1FE"/>
          </w:tcPr>
          <w:p>
            <w:pPr>
              <w:spacing w:after="0"/>
              <w:rPr>
                <w:sz w:val="17"/>
                <w:szCs w:val="17"/>
                <w:color w:val="auto"/>
              </w:rPr>
            </w:pPr>
          </w:p>
        </w:tc>
        <w:tc>
          <w:tcPr>
            <w:tcW w:w="180" w:type="dxa"/>
            <w:vAlign w:val="bottom"/>
            <w:tcBorders>
              <w:bottom w:val="single" w:sz="8" w:color="auto"/>
            </w:tcBorders>
            <w:shd w:val="clear" w:color="auto" w:fill="CEF1FE"/>
          </w:tcPr>
          <w:p>
            <w:pPr>
              <w:spacing w:after="0"/>
              <w:rPr>
                <w:sz w:val="17"/>
                <w:szCs w:val="17"/>
                <w:color w:val="auto"/>
              </w:rPr>
            </w:pPr>
          </w:p>
        </w:tc>
        <w:tc>
          <w:tcPr>
            <w:tcW w:w="1460" w:type="dxa"/>
            <w:vAlign w:val="bottom"/>
            <w:tcBorders>
              <w:bottom w:val="single" w:sz="8" w:color="auto"/>
            </w:tcBorders>
            <w:gridSpan w:val="2"/>
            <w:shd w:val="clear" w:color="auto" w:fill="CEF1FE"/>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EF1FE"/>
            </w:tcBorders>
            <w:shd w:val="clear" w:color="auto" w:fill="CEF1FE"/>
          </w:tcPr>
          <w:p>
            <w:pPr>
              <w:spacing w:after="0"/>
              <w:rPr>
                <w:sz w:val="17"/>
                <w:szCs w:val="17"/>
                <w:color w:val="auto"/>
              </w:rPr>
            </w:pPr>
          </w:p>
        </w:tc>
        <w:tc>
          <w:tcPr>
            <w:tcW w:w="20" w:type="dxa"/>
            <w:vAlign w:val="bottom"/>
            <w:tcBorders>
              <w:bottom w:val="single" w:sz="8" w:color="CEF1FE"/>
            </w:tcBorders>
            <w:shd w:val="clear" w:color="auto" w:fill="CEF1FE"/>
          </w:tcPr>
          <w:p>
            <w:pPr>
              <w:spacing w:after="0"/>
              <w:rPr>
                <w:sz w:val="17"/>
                <w:szCs w:val="17"/>
                <w:color w:val="auto"/>
              </w:rPr>
            </w:pPr>
          </w:p>
        </w:tc>
        <w:tc>
          <w:tcPr>
            <w:tcW w:w="140" w:type="dxa"/>
            <w:vAlign w:val="bottom"/>
            <w:tcBorders>
              <w:bottom w:val="single" w:sz="8" w:color="auto"/>
            </w:tcBorders>
            <w:shd w:val="clear" w:color="auto" w:fill="CEF1FE"/>
          </w:tcPr>
          <w:p>
            <w:pPr>
              <w:spacing w:after="0"/>
              <w:rPr>
                <w:sz w:val="17"/>
                <w:szCs w:val="17"/>
                <w:color w:val="auto"/>
              </w:rPr>
            </w:pPr>
          </w:p>
        </w:tc>
        <w:tc>
          <w:tcPr>
            <w:tcW w:w="1160" w:type="dxa"/>
            <w:vAlign w:val="bottom"/>
            <w:tcBorders>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7"/>
                <w:szCs w:val="17"/>
                <w:color w:val="auto"/>
              </w:rPr>
              <w:t>(23,145 )</w:t>
            </w:r>
          </w:p>
        </w:tc>
        <w:tc>
          <w:tcPr>
            <w:tcW w:w="100" w:type="dxa"/>
            <w:vAlign w:val="bottom"/>
            <w:tcBorders>
              <w:bottom w:val="single" w:sz="8" w:color="CEF1FE"/>
            </w:tcBorders>
            <w:shd w:val="clear" w:color="auto" w:fill="CEF1FE"/>
          </w:tcPr>
          <w:p>
            <w:pPr>
              <w:spacing w:after="0"/>
              <w:rPr>
                <w:sz w:val="17"/>
                <w:szCs w:val="17"/>
                <w:color w:val="auto"/>
              </w:rPr>
            </w:pPr>
          </w:p>
        </w:tc>
        <w:tc>
          <w:tcPr>
            <w:tcW w:w="140" w:type="dxa"/>
            <w:vAlign w:val="bottom"/>
            <w:tcBorders>
              <w:bottom w:val="single" w:sz="8" w:color="auto"/>
            </w:tcBorders>
            <w:shd w:val="clear" w:color="auto" w:fill="CEF1FE"/>
          </w:tcPr>
          <w:p>
            <w:pPr>
              <w:spacing w:after="0"/>
              <w:rPr>
                <w:sz w:val="17"/>
                <w:szCs w:val="17"/>
                <w:color w:val="auto"/>
              </w:rPr>
            </w:pPr>
          </w:p>
        </w:tc>
        <w:tc>
          <w:tcPr>
            <w:tcW w:w="1160" w:type="dxa"/>
            <w:vAlign w:val="bottom"/>
            <w:tcBorders>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7"/>
                <w:szCs w:val="17"/>
                <w:color w:val="auto"/>
              </w:rPr>
              <w:t>(23,145 )</w:t>
            </w:r>
          </w:p>
        </w:tc>
        <w:tc>
          <w:tcPr>
            <w:tcW w:w="0" w:type="dxa"/>
            <w:vAlign w:val="bottom"/>
          </w:tcPr>
          <w:p>
            <w:pPr>
              <w:spacing w:after="0"/>
              <w:rPr>
                <w:sz w:val="1"/>
                <w:szCs w:val="1"/>
                <w:color w:val="auto"/>
              </w:rPr>
            </w:pPr>
          </w:p>
        </w:tc>
      </w:tr>
      <w:tr>
        <w:trPr>
          <w:trHeight w:val="19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September 30, 2022</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48,481,194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w:t>
            </w:r>
          </w:p>
        </w:tc>
        <w:tc>
          <w:tcPr>
            <w:tcW w:w="12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805,480</w:t>
            </w:r>
          </w:p>
        </w:tc>
        <w:tc>
          <w:tcPr>
            <w:tcW w:w="6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(999 )</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(702,125 )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102,404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7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June 30, 2021</w:t>
            </w: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b w:val="1"/>
                <w:bCs w:val="1"/>
                <w:color w:val="auto"/>
              </w:rPr>
              <w:t>43,779,059</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44</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784,391</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(273 )</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(552,368 )</w:t>
            </w: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231,794</w:t>
            </w:r>
          </w:p>
        </w:tc>
        <w:tc>
          <w:tcPr>
            <w:tcW w:w="0" w:type="dxa"/>
            <w:vAlign w:val="bottom"/>
          </w:tcPr>
          <w:p>
            <w:pPr>
              <w:spacing w:after="0"/>
              <w:rPr>
                <w:sz w:val="1"/>
                <w:szCs w:val="1"/>
                <w:color w:val="auto"/>
              </w:rPr>
            </w:pPr>
          </w:p>
        </w:tc>
      </w:tr>
      <w:tr>
        <w:trPr>
          <w:trHeight w:val="154"/>
        </w:trPr>
        <w:tc>
          <w:tcPr>
            <w:tcW w:w="34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Issuance of common stock under at-the-</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7"/>
                <w:szCs w:val="17"/>
                <w:color w:val="auto"/>
              </w:rPr>
              <w:t>market (ATM) equity offering program, net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 issuance costs</w:t>
            </w: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2,949,647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10,052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10,055</w:t>
            </w:r>
          </w:p>
        </w:tc>
        <w:tc>
          <w:tcPr>
            <w:tcW w:w="0" w:type="dxa"/>
            <w:vAlign w:val="bottom"/>
          </w:tcPr>
          <w:p>
            <w:pPr>
              <w:spacing w:after="0"/>
              <w:rPr>
                <w:sz w:val="1"/>
                <w:szCs w:val="1"/>
                <w:color w:val="auto"/>
              </w:rPr>
            </w:pPr>
          </w:p>
        </w:tc>
      </w:tr>
      <w:tr>
        <w:trPr>
          <w:trHeight w:val="154"/>
        </w:trPr>
        <w:tc>
          <w:tcPr>
            <w:tcW w:w="3400" w:type="dxa"/>
            <w:vAlign w:val="bottom"/>
            <w:gridSpan w:val="2"/>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10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33,333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4"/>
        </w:trPr>
        <w:tc>
          <w:tcPr>
            <w:tcW w:w="34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Issuance of common stock upon cashless</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exercise of pre-funded warrants</w:t>
            </w: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315,013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Unrealized loss on marketable debt securities</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0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1,614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1,614</w:t>
            </w:r>
          </w:p>
        </w:tc>
        <w:tc>
          <w:tcPr>
            <w:tcW w:w="0" w:type="dxa"/>
            <w:vAlign w:val="bottom"/>
          </w:tcPr>
          <w:p>
            <w:pPr>
              <w:spacing w:after="0"/>
              <w:rPr>
                <w:sz w:val="1"/>
                <w:szCs w:val="1"/>
                <w:color w:val="auto"/>
              </w:rPr>
            </w:pPr>
          </w:p>
        </w:tc>
      </w:tr>
      <w:tr>
        <w:trPr>
          <w:trHeight w:val="202"/>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(18,803 )</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(18,803 )</w:t>
            </w:r>
          </w:p>
        </w:tc>
        <w:tc>
          <w:tcPr>
            <w:tcW w:w="0" w:type="dxa"/>
            <w:vAlign w:val="bottom"/>
          </w:tcPr>
          <w:p>
            <w:pPr>
              <w:spacing w:after="0"/>
              <w:rPr>
                <w:sz w:val="1"/>
                <w:szCs w:val="1"/>
                <w:color w:val="auto"/>
              </w:rPr>
            </w:pPr>
          </w:p>
        </w:tc>
      </w:tr>
      <w:tr>
        <w:trPr>
          <w:trHeight w:val="19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September 30, 2021</w:t>
            </w: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7"/>
                <w:szCs w:val="17"/>
                <w:b w:val="1"/>
                <w:bCs w:val="1"/>
                <w:color w:val="auto"/>
              </w:rPr>
              <w:t>47,077,052</w:t>
            </w:r>
          </w:p>
        </w:tc>
        <w:tc>
          <w:tcPr>
            <w:tcW w:w="12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47</w:t>
            </w:r>
          </w:p>
        </w:tc>
        <w:tc>
          <w:tcPr>
            <w:tcW w:w="1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Pr>
          <w:p>
            <w:pPr>
              <w:spacing w:after="0"/>
              <w:rPr>
                <w:sz w:val="17"/>
                <w:szCs w:val="17"/>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796,057</w:t>
            </w:r>
          </w:p>
        </w:tc>
        <w:tc>
          <w:tcPr>
            <w:tcW w:w="60" w:type="dxa"/>
            <w:vAlign w:val="bottom"/>
          </w:tcPr>
          <w:p>
            <w:pPr>
              <w:spacing w:after="0"/>
              <w:rPr>
                <w:sz w:val="17"/>
                <w:szCs w:val="17"/>
                <w:color w:val="auto"/>
              </w:rPr>
            </w:pPr>
          </w:p>
        </w:tc>
        <w:tc>
          <w:tcPr>
            <w:tcW w:w="28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(288 )</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(571,171 )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224,645</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2959100</wp:posOffset>
            </wp:positionH>
            <wp:positionV relativeFrom="paragraph">
              <wp:posOffset>-2242820</wp:posOffset>
            </wp:positionV>
            <wp:extent cx="7683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-2242820</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-2242820</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-2242820</wp:posOffset>
            </wp:positionV>
            <wp:extent cx="6858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-2242820</wp:posOffset>
            </wp:positionV>
            <wp:extent cx="6858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-161925</wp:posOffset>
            </wp:positionV>
            <wp:extent cx="7683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-161925</wp:posOffset>
            </wp:positionV>
            <wp:extent cx="6858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-161925</wp:posOffset>
            </wp:positionV>
            <wp:extent cx="6858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-161925</wp:posOffset>
            </wp:positionV>
            <wp:extent cx="6858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-161925</wp:posOffset>
            </wp:positionV>
            <wp:extent cx="6858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Nine Month Period</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gridSpan w:val="8"/>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bottom w:val="single" w:sz="8" w:color="auto"/>
            </w:tcBorders>
            <w:gridSpan w:val="8"/>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48,120,437</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48</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800,728</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(419 )</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(631,428 )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168,929</w:t>
            </w:r>
          </w:p>
        </w:tc>
        <w:tc>
          <w:tcPr>
            <w:tcW w:w="0" w:type="dxa"/>
            <w:vAlign w:val="bottom"/>
          </w:tcPr>
          <w:p>
            <w:pPr>
              <w:spacing w:after="0"/>
              <w:rPr>
                <w:sz w:val="1"/>
                <w:szCs w:val="1"/>
                <w:color w:val="auto"/>
              </w:rPr>
            </w:pPr>
          </w:p>
        </w:tc>
      </w:tr>
      <w:tr>
        <w:trPr>
          <w:trHeight w:val="154"/>
        </w:trPr>
        <w:tc>
          <w:tcPr>
            <w:tcW w:w="34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Issuance of common stock under Employee</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 Purchase Plan (ESPP)</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134,888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154"/>
        </w:trPr>
        <w:tc>
          <w:tcPr>
            <w:tcW w:w="3400" w:type="dxa"/>
            <w:vAlign w:val="bottom"/>
            <w:gridSpan w:val="2"/>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225,869</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Unrealized loss on marketable debt securities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(580 )</w:t>
            </w: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4,575</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4,575</w:t>
            </w:r>
          </w:p>
        </w:tc>
        <w:tc>
          <w:tcPr>
            <w:tcW w:w="0" w:type="dxa"/>
            <w:vAlign w:val="bottom"/>
          </w:tcPr>
          <w:p>
            <w:pPr>
              <w:spacing w:after="0"/>
              <w:rPr>
                <w:sz w:val="1"/>
                <w:szCs w:val="1"/>
                <w:color w:val="auto"/>
              </w:rPr>
            </w:pPr>
          </w:p>
        </w:tc>
      </w:tr>
      <w:tr>
        <w:trPr>
          <w:trHeight w:val="20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(70,697 )</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(70,697 )</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September 30, 2022</w:t>
            </w:r>
          </w:p>
        </w:tc>
        <w:tc>
          <w:tcPr>
            <w:tcW w:w="120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48,481,194</w:t>
            </w:r>
          </w:p>
        </w:tc>
        <w:tc>
          <w:tcPr>
            <w:tcW w:w="8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48</w:t>
            </w: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805,480</w:t>
            </w:r>
          </w:p>
        </w:tc>
        <w:tc>
          <w:tcPr>
            <w:tcW w:w="6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(999 )</w:t>
            </w:r>
          </w:p>
        </w:tc>
        <w:tc>
          <w:tcPr>
            <w:tcW w:w="4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(702,125 )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102,404</w:t>
            </w:r>
          </w:p>
        </w:tc>
        <w:tc>
          <w:tcPr>
            <w:tcW w:w="0" w:type="dxa"/>
            <w:vAlign w:val="bottom"/>
          </w:tcPr>
          <w:p>
            <w:pPr>
              <w:spacing w:after="0"/>
              <w:rPr>
                <w:sz w:val="1"/>
                <w:szCs w:val="1"/>
                <w:color w:val="auto"/>
              </w:rPr>
            </w:pPr>
          </w:p>
        </w:tc>
      </w:tr>
      <w:tr>
        <w:trPr>
          <w:trHeight w:val="320"/>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1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34,026,680</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742,387</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(270 )</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(501,573 )</w:t>
            </w: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240,578</w:t>
            </w:r>
          </w:p>
        </w:tc>
        <w:tc>
          <w:tcPr>
            <w:tcW w:w="0" w:type="dxa"/>
            <w:vAlign w:val="bottom"/>
          </w:tcPr>
          <w:p>
            <w:pPr>
              <w:spacing w:after="0"/>
              <w:rPr>
                <w:sz w:val="1"/>
                <w:szCs w:val="1"/>
                <w:color w:val="auto"/>
              </w:rPr>
            </w:pPr>
          </w:p>
        </w:tc>
      </w:tr>
      <w:tr>
        <w:trPr>
          <w:trHeight w:val="154"/>
        </w:trPr>
        <w:tc>
          <w:tcPr>
            <w:tcW w:w="34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Issuance of common stock under ATM equity</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offering program, net of issuance costs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10,399,548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50,196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50,207</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rPr>
              <w:t>42,803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144</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154"/>
        </w:trPr>
        <w:tc>
          <w:tcPr>
            <w:tcW w:w="34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184,387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4"/>
        </w:trPr>
        <w:tc>
          <w:tcPr>
            <w:tcW w:w="3400" w:type="dxa"/>
            <w:vAlign w:val="bottom"/>
            <w:gridSpan w:val="2"/>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Issuance of common stock upon cashless</w:t>
            </w: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exercise of pre-funded warrants</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rPr>
              <w:t>2,423,634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Unrealized loss on marketable debt securities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3,332</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3,332</w:t>
            </w:r>
          </w:p>
        </w:tc>
        <w:tc>
          <w:tcPr>
            <w:tcW w:w="0" w:type="dxa"/>
            <w:vAlign w:val="bottom"/>
          </w:tcPr>
          <w:p>
            <w:pPr>
              <w:spacing w:after="0"/>
              <w:rPr>
                <w:sz w:val="1"/>
                <w:szCs w:val="1"/>
                <w:color w:val="auto"/>
              </w:rPr>
            </w:pPr>
          </w:p>
        </w:tc>
      </w:tr>
      <w:tr>
        <w:trPr>
          <w:trHeight w:val="20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(69,598 )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(69,598 )</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September 30, 2021</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47,077,052</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47</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796,057</w:t>
            </w: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(288 )</w:t>
            </w: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(571,171 )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224,645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-2122805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-2105660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-2122805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-2105660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-2122805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-2105660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-2122805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-2105660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-2122805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-2105660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-24765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7" w:name="page8"/>
    <w:bookmarkEnd w:id="7"/>
    <w:p>
      <w:pPr>
        <w:ind w:left="426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8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(70,697 )</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(69,598 )</w:t>
            </w:r>
          </w:p>
        </w:tc>
      </w:tr>
      <w:tr>
        <w:trPr>
          <w:trHeight w:val="216"/>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4,580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3,292</w:t>
            </w:r>
          </w:p>
        </w:tc>
      </w:tr>
      <w:tr>
        <w:trPr>
          <w:trHeight w:val="216"/>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of investments in marketable debt securities</w:t>
            </w:r>
          </w:p>
        </w:tc>
        <w:tc>
          <w:tcPr>
            <w:tcW w:w="1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rent expense</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2,644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2,940</w:t>
            </w:r>
          </w:p>
        </w:tc>
      </w:tr>
      <w:tr>
        <w:trPr>
          <w:trHeight w:val="216"/>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from collaboration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2,060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4,470</w:t>
            </w:r>
          </w:p>
        </w:tc>
      </w:tr>
      <w:tr>
        <w:trPr>
          <w:trHeight w:val="216"/>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(1,970 )</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16"/>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(6,490 )</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(6,254 )</w:t>
            </w:r>
          </w:p>
        </w:tc>
      </w:tr>
      <w:tr>
        <w:trPr>
          <w:trHeight w:val="216"/>
        </w:trPr>
        <w:tc>
          <w:tcPr>
            <w:tcW w:w="8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(2,856 )</w:t>
            </w:r>
          </w:p>
        </w:tc>
      </w:tr>
      <w:tr>
        <w:trPr>
          <w:trHeight w:val="20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(65,209 )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(74,034 )</w:t>
            </w:r>
          </w:p>
        </w:tc>
      </w:tr>
      <w:tr>
        <w:trPr>
          <w:trHeight w:val="216"/>
        </w:trPr>
        <w:tc>
          <w:tcPr>
            <w:tcW w:w="8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66,000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132,200</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12,500</w:t>
            </w:r>
          </w:p>
        </w:tc>
      </w:tr>
      <w:tr>
        <w:trPr>
          <w:trHeight w:val="216"/>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(3,078 )</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(18,820 )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(107,480 )</w:t>
            </w:r>
          </w:p>
        </w:tc>
      </w:tr>
      <w:tr>
        <w:trPr>
          <w:trHeight w:val="216"/>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857</w:t>
            </w:r>
          </w:p>
        </w:tc>
      </w:tr>
      <w:tr>
        <w:trPr>
          <w:trHeight w:val="20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8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74,078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34,999</w:t>
            </w:r>
          </w:p>
        </w:tc>
      </w:tr>
      <w:tr>
        <w:trPr>
          <w:trHeight w:val="216"/>
        </w:trPr>
        <w:tc>
          <w:tcPr>
            <w:tcW w:w="8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2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common stock under ATM equity offering program, net of issuance costs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50,207</w:t>
            </w:r>
          </w:p>
        </w:tc>
      </w:tr>
      <w:tr>
        <w:trPr>
          <w:trHeight w:val="20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50,351</w:t>
            </w:r>
          </w:p>
        </w:tc>
      </w:tr>
      <w:tr>
        <w:trPr>
          <w:trHeight w:val="216"/>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9,046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11,316</w:t>
            </w:r>
          </w:p>
        </w:tc>
      </w:tr>
      <w:tr>
        <w:trPr>
          <w:trHeight w:val="21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45,627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59,444</w:t>
            </w:r>
          </w:p>
        </w:tc>
      </w:tr>
      <w:tr>
        <w:trPr>
          <w:trHeight w:val="249"/>
        </w:trPr>
        <w:tc>
          <w:tcPr>
            <w:tcW w:w="8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54,673</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70,760</w:t>
            </w:r>
          </w:p>
        </w:tc>
      </w:tr>
      <w:tr>
        <w:trPr>
          <w:trHeight w:val="196"/>
        </w:trPr>
        <w:tc>
          <w:tcPr>
            <w:tcW w:w="8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ROU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lease liabilities arising from modification of ROU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-2947670</wp:posOffset>
            </wp:positionV>
            <wp:extent cx="9398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-1149985</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-447675</wp:posOffset>
            </wp:positionV>
            <wp:extent cx="9398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ind w:left="426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2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Assembly Biosciences, Inc. (together with its subsidiaries, Assembly or the Company), incorporated in Delaware in October 2005, is a clinical-stage biotechnology company advancing a novel class of oral therapeutic candidates for the treatment of chronic hepatitis B virus (HBV) infection and other viral diseases. The Company operates in one segment and is headquartered in South San Francisco, California, with operations in California and China.</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has a broad research and development portfolio and is targeting multiple viruses, including (1) novel, small molecule core inhibitors that inhibit the HBV replication cycle and block the generation of covalently closed circular DNA (cccDNA), with the aim of discovering and developing finite and curative therapies for patients with HBV, (2) a novel, small molecule approach to inhibit cell entry for both HBV and hepatitis delta virus (HDV), (3) a novel, small molecule interferon-α receptor (IFNAR) agonist designed to selectively activate the interferon-α pathway within the liver and offer the convenience of oral dosing, (4) a herpes simplex type 2 (HSV-2) long-acting helicase inhibitor for the treatment of recurrent genital herpes and (5) a pan-herpes non-nucleoside polymerase inhibitor (NNPI) to treat multiple transplant-associated herpesvirus infections.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has not derived any revenue from product sales to date and currently has no approved products. Once a product has been developed, it will need to be approved for sale by the U.S. Food and Drug Administration or an applicable foreign regulatory agency. Since inception, the Company’s operations have been financed primarily through the sale of equity securities, proceeds from the exercise of warrants and stock options,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 Market volatility resulting from the global novel coronavirus disease (COVID-19) pandemic or other factors could also adversely impact the Company’s ability to access capital when and as needed.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unable to generate enough revenue from its collaborations, secure additional sources of funding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3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the fiscal year ended December 31, 2021, which are contained in the 2021 Annual Report. The results for the three and nine months ended September 30, 2022 are not necessarily indicative of results to be expected for the entire year ending December 31, 2022 or future operating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Estimates inherent in the preparation of the accompanying unaudited condensed consolidated financial statements include estimates of costs incurred but not yet invoiced for research and development accruals, recoverability and useful lives of our long-lived assets, amounts receivable under collaboration agreements, measurement of operating lease liabilities, and the fair value of stock options, stock appreciation rights, and RSUs granted to employees, directors, and consultants.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6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The ongoing COVID-19 pandemic and its broad, global impacts, including supply chain disruptions, have impacted certain aspects of the Company’s business, including where and how the Company’s employees work in its labs and offices and how and when the Company’s nonclinical and clinical studies are conducted. Early in the pandemic, the Company’s clinical and nonclinical studies were largely unaffected, but as the pandemic has continued, its impacts have increased. Certain nonclinical animal studies and shipping of compounds necessary for the Company’s research programs have been delayed, and conduct of Study 203, which is currently in the process of being closed, was also impacted by the shutdowns occurring in the first half of 2022 in China.</w:t>
      </w:r>
    </w:p>
    <w:p>
      <w:pPr>
        <w:spacing w:after="0" w:line="13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Company relies on contract research organizations (CROs), some of which are in China and India, and these CROs have experienced pandemic-related setbacks from time to time. The Company cannot at this time predict the specific extent, duration, or full impact the COVID-19 pandemic will have on its business, operations, strategy, prospects and financial condition and results. The impact of the COVID-19 pandemic on the Company’s financial performance will depend on future developments, including the duration and spread of the outbreak, as well as the prevalence of current and future variants of the novel coronavirus that causes COVID-19, and related governmental advisories and restrictions. These developments and the impact of the COVID-19 pandemic on the financial markets and the overall economy are highly uncertain. If the financial markets and/or the overall economy continue to be impacted for an extended period, the Company’s results may be adversely affected.</w:t>
      </w:r>
    </w:p>
    <w:p>
      <w:pPr>
        <w:spacing w:after="0" w:line="13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to the Company’s CROs in China and India, the Company also contracts with a CRO in Ukraine, which shut down operations due to Russia’s invasion of Ukraine. Though this CRO has resumed operations, the Company has reallocated certain work to other global CROs in case the CRO shuts down operations again.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Effective January 1, 2022, a provision of the Tax Cuts and Jobs Act (TCJA) took effect creating a significant change to the treatment of research and experimental expenditures under Section 174 of the Internal Revenue Code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United States to be capitalized and amortized over a five-year period. For expenses associated with research outside of the United States, Sec. 174 expenses will be capitalized and amortized over a 15-year period. This provision is not expected to have a material impact to the Company's consolidated financial statements.</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August 2022, the Inflation Reduction Act (IRA) was enacted into law. The IRA establishes a 15% corporate alternative minimum tax on corporations whose average annual adjusted financial statement income during the most recently completed three-year period exceeds $1 billion and a 1% excise tax on stock repurchases made by certain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 w:name="page11"/>
    <w:bookmarkEnd w:id="10"/>
    <w:p>
      <w:pPr>
        <w:jc w:val="both"/>
        <w:spacing w:after="0" w:line="250" w:lineRule="auto"/>
        <w:rPr>
          <w:sz w:val="20"/>
          <w:szCs w:val="20"/>
          <w:color w:val="auto"/>
        </w:rPr>
      </w:pPr>
      <w:r>
        <w:rPr>
          <w:rFonts w:ascii="Times New Roman" w:cs="Times New Roman" w:eastAsia="Times New Roman" w:hAnsi="Times New Roman"/>
          <w:sz w:val="18"/>
          <w:szCs w:val="18"/>
          <w:color w:val="auto"/>
        </w:rPr>
        <w:t>publicly traded U.S. corporations. These provisions are effective for tax years beginning after December 31, 2022. The Company does not currently qualify for the corporate alternative minimum tax, and these provisions are not expected to have a material impact to the Company's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contracts to issue common stock were exercised or converted into common stock or resulted in the issuance of common stock that then shared in the earnings of the entity unless inclusion of such shares would be anti-dilutive.</w:t>
      </w:r>
    </w:p>
    <w:p>
      <w:pPr>
        <w:spacing w:after="0" w:line="1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diluted net loss per common share computations is as follows (in thousands, except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2"/>
        </w:trPr>
        <w:tc>
          <w:tcPr>
            <w:tcW w:w="5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(23,145 )</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(18,803 )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(70,697 )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(69,598 )</w:t>
            </w: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3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48,448,399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45,569,276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48,289,501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42,725,109</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3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(0.48 )</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(0.41 )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(1.63 )</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excluded from the computation of diluted net loss per share because including them would have been antidilutive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262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r>
      <w:tr>
        <w:trPr>
          <w:trHeight w:val="196"/>
        </w:trPr>
        <w:tc>
          <w:tcPr>
            <w:tcW w:w="7240" w:type="dxa"/>
            <w:vAlign w:val="bottom"/>
          </w:tcPr>
          <w:p>
            <w:pPr>
              <w:spacing w:after="0"/>
              <w:rPr>
                <w:sz w:val="17"/>
                <w:szCs w:val="17"/>
                <w:color w:val="auto"/>
              </w:rPr>
            </w:pPr>
          </w:p>
        </w:tc>
        <w:tc>
          <w:tcPr>
            <w:tcW w:w="18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8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9,441,215</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6,306,867</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subject to purchase under ESPP</w:t>
            </w:r>
          </w:p>
        </w:tc>
        <w:tc>
          <w:tcPr>
            <w:tcW w:w="1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102,772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49,470</w:t>
            </w:r>
          </w:p>
        </w:tc>
      </w:tr>
      <w:tr>
        <w:trPr>
          <w:trHeight w:val="216"/>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8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1,837,049</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998,188</w:t>
            </w:r>
          </w:p>
        </w:tc>
      </w:tr>
      <w:tr>
        <w:trPr>
          <w:trHeight w:val="20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11,381,036</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7,354,525</w:t>
            </w:r>
          </w:p>
        </w:tc>
      </w:tr>
      <w:tr>
        <w:trPr>
          <w:trHeight w:val="20"/>
        </w:trPr>
        <w:tc>
          <w:tcPr>
            <w:tcW w:w="7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-170815</wp:posOffset>
            </wp:positionV>
            <wp:extent cx="15430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and Investments in Marketable Securities</w:t>
      </w:r>
    </w:p>
    <w:p>
      <w:pPr>
        <w:spacing w:after="0" w:line="1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spacing w:after="0" w:line="1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uses the following three-level hierarchy that maximizes the use of observable inputs and minimizes the use of unobservable inputs to value its financial instruments: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unadjusted quoted prices in active markets for identical instruments.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Quoted prices for similar instruments that are directly or indirectly observable in the marketplace.</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20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213"/>
              <w:spacing w:after="0" w:line="15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120" w:type="dxa"/>
            <w:vAlign w:val="bottom"/>
          </w:tcPr>
          <w:p>
            <w:pPr>
              <w:jc w:val="center"/>
              <w:ind w:left="225"/>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255"/>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Gain</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51,731</w:t>
            </w:r>
          </w:p>
        </w:tc>
        <w:tc>
          <w:tcPr>
            <w:tcW w:w="1240" w:type="dxa"/>
            <w:vAlign w:val="bottom"/>
            <w:gridSpan w:val="2"/>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51,731</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51,731</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51,731</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18,957</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18,513</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8,979</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8,699</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24,942</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24,942</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54,704</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53,978</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106,435</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105,709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20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4"/>
                <w:szCs w:val="14"/>
                <w:color w:val="auto"/>
              </w:rPr>
            </w:pPr>
          </w:p>
        </w:tc>
        <w:tc>
          <w:tcPr>
            <w:tcW w:w="1120" w:type="dxa"/>
            <w:vAlign w:val="bottom"/>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Gain</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42,507</w:t>
            </w:r>
          </w:p>
        </w:tc>
        <w:tc>
          <w:tcPr>
            <w:tcW w:w="1240" w:type="dxa"/>
            <w:vAlign w:val="bottom"/>
            <w:gridSpan w:val="2"/>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42,507</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7,013</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29,097</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29,059</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64,929</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64,928</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101,041</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101,000</w:t>
            </w: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18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19,117</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19,043</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8,960</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8,929</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28,077</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27,972</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171,625</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171,479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-3432810</wp:posOffset>
            </wp:positionV>
            <wp:extent cx="76835"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-3432810</wp:posOffset>
            </wp:positionV>
            <wp:extent cx="76835"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-3432810</wp:posOffset>
            </wp:positionV>
            <wp:extent cx="76835"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-2593975</wp:posOffset>
            </wp:positionV>
            <wp:extent cx="7683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-2593975</wp:posOffset>
            </wp:positionV>
            <wp:extent cx="7683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-2593975</wp:posOffset>
            </wp:positionV>
            <wp:extent cx="7683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-1437640</wp:posOffset>
            </wp:positionV>
            <wp:extent cx="76835"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-1437640</wp:posOffset>
            </wp:positionV>
            <wp:extent cx="76835"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-1437640</wp:posOffset>
            </wp:positionV>
            <wp:extent cx="7683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-881380</wp:posOffset>
            </wp:positionV>
            <wp:extent cx="7683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-881380</wp:posOffset>
            </wp:positionV>
            <wp:extent cx="7683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-881380</wp:posOffset>
            </wp:positionV>
            <wp:extent cx="7683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-316230</wp:posOffset>
            </wp:positionV>
            <wp:extent cx="7683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-316230</wp:posOffset>
            </wp:positionV>
            <wp:extent cx="7683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-316230</wp:posOffset>
            </wp:positionV>
            <wp:extent cx="7683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Short-term marketable securities held as of September 30, 2022 had contractual maturities of less than one year. There were no long-term marketable securities held by the Company as of September 30, 2022.</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Realized gains and losses for the three and nine months ended September 30, 2022 and 2021 were not material. As of September 30, 2022 and December 31, 2021, investments which were in a continuous unrealized loss position for more than 12 months were determined to be temporary. The Company determined that it has the ability and intent to hold all marketable securities that have been in a continuous loss position until maturity or recovery and that the gross unrealized losses above were caused by changes in interest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measured at fair value on a recurring basis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51,731</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51,731</w:t>
            </w:r>
          </w:p>
        </w:tc>
      </w:tr>
      <w:tr>
        <w:trPr>
          <w:trHeight w:val="209"/>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51,731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51,731</w:t>
            </w: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18,513</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18,513</w:t>
            </w: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1,824</w:t>
            </w: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8,699</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8,699</w:t>
            </w: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24,942</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24,942</w:t>
            </w:r>
          </w:p>
        </w:tc>
      </w:tr>
      <w:tr>
        <w:trPr>
          <w:trHeight w:val="209"/>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53,978</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53,978</w:t>
            </w: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51,731</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53,978</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105,709</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58"/>
        </w:trPr>
        <w:tc>
          <w:tcPr>
            <w:tcW w:w="5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69"/>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r>
      <w:tr>
        <w:trPr>
          <w:trHeight w:val="209"/>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7,013</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7,013</w:t>
            </w: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29,059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29,059</w:t>
            </w:r>
          </w:p>
        </w:tc>
      </w:tr>
      <w:tr>
        <w:trPr>
          <w:trHeight w:val="216"/>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64,928</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64,928</w:t>
            </w: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101,000</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101,000</w:t>
            </w:r>
          </w:p>
        </w:tc>
      </w:tr>
      <w:tr>
        <w:trPr>
          <w:trHeight w:val="20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19,043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19,043</w:t>
            </w:r>
          </w:p>
        </w:tc>
      </w:tr>
      <w:tr>
        <w:trPr>
          <w:trHeight w:val="216"/>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8,929</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8,929</w:t>
            </w: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27,972</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27,972</w:t>
            </w:r>
          </w:p>
        </w:tc>
      </w:tr>
      <w:tr>
        <w:trPr>
          <w:trHeight w:val="249"/>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42,507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128,972</w:t>
            </w:r>
          </w:p>
        </w:tc>
        <w:tc>
          <w:tcPr>
            <w:tcW w:w="1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171,479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-3235960</wp:posOffset>
            </wp:positionV>
            <wp:extent cx="8572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-3235960</wp:posOffset>
            </wp:positionV>
            <wp:extent cx="76835"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-3235960</wp:posOffset>
            </wp:positionV>
            <wp:extent cx="7683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-2397125</wp:posOffset>
            </wp:positionV>
            <wp:extent cx="8572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-2397125</wp:posOffset>
            </wp:positionV>
            <wp:extent cx="7683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-2397125</wp:posOffset>
            </wp:positionV>
            <wp:extent cx="7683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-1437640</wp:posOffset>
            </wp:positionV>
            <wp:extent cx="8572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-1437640</wp:posOffset>
            </wp:positionV>
            <wp:extent cx="76835"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-1437640</wp:posOffset>
            </wp:positionV>
            <wp:extent cx="76835"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-881380</wp:posOffset>
            </wp:positionV>
            <wp:extent cx="85725"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-881380</wp:posOffset>
            </wp:positionV>
            <wp:extent cx="7683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-881380</wp:posOffset>
            </wp:positionV>
            <wp:extent cx="7683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-316230</wp:posOffset>
            </wp:positionV>
            <wp:extent cx="85725"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-316230</wp:posOffset>
            </wp:positionV>
            <wp:extent cx="7683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-316230</wp:posOffset>
            </wp:positionV>
            <wp:extent cx="7683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-24765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-7620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-24765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-7620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during the periods presented.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Other Accrued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87"/>
        </w:trPr>
        <w:tc>
          <w:tcPr>
            <w:tcW w:w="7220" w:type="dxa"/>
            <w:vAlign w:val="bottom"/>
          </w:tcPr>
          <w:p>
            <w:pPr>
              <w:spacing w:after="0"/>
              <w:rPr>
                <w:sz w:val="16"/>
                <w:szCs w:val="16"/>
                <w:color w:val="auto"/>
              </w:rPr>
            </w:pPr>
          </w:p>
        </w:tc>
        <w:tc>
          <w:tcPr>
            <w:tcW w:w="14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5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restructuring charges</w:t>
            </w:r>
          </w:p>
        </w:tc>
        <w:tc>
          <w:tcPr>
            <w:tcW w:w="1400" w:type="dxa"/>
            <w:vAlign w:val="bottom"/>
            <w:shd w:val="clear" w:color="auto" w:fill="CEF1FE"/>
          </w:tcPr>
          <w:p>
            <w:pPr>
              <w:spacing w:after="0"/>
              <w:rPr>
                <w:sz w:val="18"/>
                <w:szCs w:val="18"/>
                <w:color w:val="auto"/>
              </w:rPr>
            </w:pPr>
          </w:p>
        </w:tc>
        <w:tc>
          <w:tcPr>
            <w:tcW w:w="44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EF1FE"/>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EF1FE"/>
          </w:tcPr>
          <w:p>
            <w:pPr>
              <w:spacing w:after="0"/>
              <w:rPr>
                <w:sz w:val="18"/>
                <w:szCs w:val="18"/>
                <w:color w:val="auto"/>
              </w:rPr>
            </w:pPr>
          </w:p>
        </w:tc>
        <w:tc>
          <w:tcPr>
            <w:tcW w:w="152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EF1FE"/>
          </w:tcPr>
          <w:p>
            <w:pPr>
              <w:spacing w:after="0"/>
              <w:rPr>
                <w:sz w:val="18"/>
                <w:szCs w:val="18"/>
                <w:color w:val="auto"/>
              </w:rPr>
            </w:pPr>
          </w:p>
        </w:tc>
      </w:tr>
      <w:tr>
        <w:trPr>
          <w:trHeight w:val="216"/>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1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r>
      <w:tr>
        <w:trPr>
          <w:trHeight w:val="249"/>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400" w:type="dxa"/>
            <w:vAlign w:val="bottom"/>
            <w:tcBorders>
              <w:bottom w:val="single" w:sz="8" w:color="auto"/>
            </w:tcBorders>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Restructuring</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July 2022, the Company and the Board of Directors approved a strategic plan to align with its refocused pipeline on its next generation core inhibitors and research programs and reduced its workforce by approximately 30%. The Company expects to incur $1.8 million in restructuring charges through mid-2023. Restructuring charges consist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3" w:name="page14"/>
    <w:bookmarkEnd w:id="1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solely of employee severance and related benefits which include $1.0 million in severance payments to executive officers impacted by the restructuring and $0.8 million in one-time termination severance payments and other employee-related costs associated with the restructuring.</w:t>
      </w:r>
    </w:p>
    <w:p>
      <w:pPr>
        <w:spacing w:after="0" w:line="2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summary of accrued restructuring charges, included as a component of other accrued expenses on the Company's condensed consolidated balance sheet as of September 30, 2022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Accrued Restructuring Charges</w:t>
            </w:r>
          </w:p>
        </w:tc>
      </w:tr>
      <w:tr>
        <w:trPr>
          <w:trHeight w:val="209"/>
        </w:trPr>
        <w:tc>
          <w:tcPr>
            <w:tcW w:w="7760" w:type="dxa"/>
            <w:vAlign w:val="bottom"/>
            <w:shd w:val="clear" w:color="auto" w:fill="CEF1FE"/>
          </w:tcPr>
          <w:p>
            <w:pPr>
              <w:ind w:left="20"/>
              <w:spacing w:after="0"/>
              <w:rPr>
                <w:sz w:val="20"/>
                <w:szCs w:val="20"/>
                <w:color w:val="auto"/>
              </w:rPr>
            </w:pPr>
            <w:r>
              <w:rPr>
                <w:rFonts w:ascii="Times New Roman" w:cs="Times New Roman" w:eastAsia="Times New Roman" w:hAnsi="Times New Roman"/>
                <w:sz w:val="18"/>
                <w:szCs w:val="18"/>
                <w:color w:val="auto"/>
              </w:rPr>
              <w:t>Accrued balance as of June 30, 2022</w:t>
            </w:r>
          </w:p>
        </w:tc>
        <w:tc>
          <w:tcPr>
            <w:tcW w:w="400" w:type="dxa"/>
            <w:vAlign w:val="bottom"/>
            <w:tcBorders>
              <w:top w:val="single" w:sz="8" w:color="auto"/>
            </w:tcBorders>
            <w:shd w:val="clear" w:color="auto" w:fill="CEF1FE"/>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tcBorders>
              <w:top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EF1FE"/>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incurred</w:t>
            </w:r>
          </w:p>
        </w:tc>
        <w:tc>
          <w:tcPr>
            <w:tcW w:w="40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8"/>
                <w:szCs w:val="18"/>
                <w:color w:val="auto"/>
              </w:rPr>
            </w:pPr>
          </w:p>
        </w:tc>
      </w:tr>
      <w:tr>
        <w:trPr>
          <w:trHeight w:val="216"/>
        </w:trPr>
        <w:tc>
          <w:tcPr>
            <w:tcW w:w="7760" w:type="dxa"/>
            <w:vAlign w:val="bottom"/>
            <w:shd w:val="clear" w:color="auto" w:fill="CEF1FE"/>
          </w:tcPr>
          <w:p>
            <w:pPr>
              <w:ind w:left="200"/>
              <w:spacing w:after="0"/>
              <w:rPr>
                <w:sz w:val="20"/>
                <w:szCs w:val="20"/>
                <w:color w:val="auto"/>
              </w:rPr>
            </w:pPr>
            <w:r>
              <w:rPr>
                <w:rFonts w:ascii="Times New Roman" w:cs="Times New Roman" w:eastAsia="Times New Roman" w:hAnsi="Times New Roman"/>
                <w:sz w:val="18"/>
                <w:szCs w:val="18"/>
                <w:color w:val="auto"/>
              </w:rPr>
              <w:t>Reductions for cash payments</w:t>
            </w:r>
          </w:p>
        </w:tc>
        <w:tc>
          <w:tcPr>
            <w:tcW w:w="400" w:type="dxa"/>
            <w:vAlign w:val="bottom"/>
            <w:shd w:val="clear" w:color="auto" w:fill="CEF1FE"/>
          </w:tcPr>
          <w:p>
            <w:pPr>
              <w:spacing w:after="0"/>
              <w:rPr>
                <w:sz w:val="18"/>
                <w:szCs w:val="18"/>
                <w:color w:val="auto"/>
              </w:rPr>
            </w:pPr>
          </w:p>
        </w:tc>
        <w:tc>
          <w:tcPr>
            <w:tcW w:w="3080" w:type="dxa"/>
            <w:vAlign w:val="bottom"/>
            <w:gridSpan w:val="2"/>
            <w:shd w:val="clear" w:color="auto" w:fill="CEF1FE"/>
          </w:tcPr>
          <w:p>
            <w:pPr>
              <w:jc w:val="right"/>
              <w:ind w:right="40"/>
              <w:spacing w:after="0"/>
              <w:rPr>
                <w:sz w:val="20"/>
                <w:szCs w:val="20"/>
                <w:color w:val="auto"/>
              </w:rPr>
            </w:pPr>
            <w:r>
              <w:rPr>
                <w:rFonts w:ascii="Times New Roman" w:cs="Times New Roman" w:eastAsia="Times New Roman" w:hAnsi="Times New Roman"/>
                <w:sz w:val="18"/>
                <w:szCs w:val="18"/>
                <w:color w:val="auto"/>
              </w:rPr>
              <w:t>(427 )</w:t>
            </w: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balance as of September 30, 2022</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presents where the restructuring charges were recognized on the Company's condensed consolidated statements of operations and comprehensive loss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2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r>
      <w:tr>
        <w:trPr>
          <w:trHeight w:val="196"/>
        </w:trPr>
        <w:tc>
          <w:tcPr>
            <w:tcW w:w="506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060" w:type="dxa"/>
            <w:vAlign w:val="bottom"/>
            <w:shd w:val="clear" w:color="auto" w:fill="CDF1FE"/>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shd w:val="clear" w:color="auto" w:fill="CEF1FE"/>
          </w:tcPr>
          <w:p>
            <w:pPr>
              <w:jc w:val="right"/>
              <w:ind w:right="20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shd w:val="clear" w:color="auto" w:fill="CEF1FE"/>
          </w:tcPr>
          <w:p>
            <w:pPr>
              <w:spacing w:after="0"/>
              <w:rPr>
                <w:sz w:val="18"/>
                <w:szCs w:val="18"/>
                <w:color w:val="auto"/>
              </w:rPr>
            </w:pPr>
          </w:p>
        </w:tc>
        <w:tc>
          <w:tcPr>
            <w:tcW w:w="420" w:type="dxa"/>
            <w:vAlign w:val="bottom"/>
            <w:shd w:val="clear" w:color="auto" w:fill="CDF1FE"/>
          </w:tcPr>
          <w:p>
            <w:pPr>
              <w:spacing w:after="0"/>
              <w:rPr>
                <w:sz w:val="18"/>
                <w:szCs w:val="18"/>
                <w:color w:val="auto"/>
              </w:rPr>
            </w:pPr>
          </w:p>
        </w:tc>
        <w:tc>
          <w:tcPr>
            <w:tcW w:w="520" w:type="dxa"/>
            <w:vAlign w:val="bottom"/>
            <w:shd w:val="clear" w:color="auto" w:fill="CEF1F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EF1FE"/>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r>
      <w:tr>
        <w:trPr>
          <w:trHeight w:val="209"/>
        </w:trPr>
        <w:tc>
          <w:tcPr>
            <w:tcW w:w="5060" w:type="dxa"/>
            <w:vAlign w:val="bottom"/>
            <w:tcBorders>
              <w:bottom w:val="single" w:sz="8" w:color="CDF1FE"/>
            </w:tcBorders>
            <w:shd w:val="clear" w:color="auto" w:fill="CDF1FE"/>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auto"/>
            </w:tcBorders>
            <w:shd w:val="clear" w:color="auto" w:fill="CEF1FE"/>
          </w:tcPr>
          <w:p>
            <w:pPr>
              <w:jc w:val="right"/>
              <w:ind w:right="20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Borders>
              <w:bottom w:val="single" w:sz="8" w:color="CEF1FE"/>
            </w:tcBorders>
            <w:shd w:val="clear" w:color="auto" w:fill="CEF1FE"/>
          </w:tcPr>
          <w:p>
            <w:pPr>
              <w:spacing w:after="0"/>
              <w:rPr>
                <w:sz w:val="18"/>
                <w:szCs w:val="18"/>
                <w:color w:val="auto"/>
              </w:rPr>
            </w:pPr>
          </w:p>
        </w:tc>
        <w:tc>
          <w:tcPr>
            <w:tcW w:w="420" w:type="dxa"/>
            <w:vAlign w:val="bottom"/>
            <w:tcBorders>
              <w:bottom w:val="single" w:sz="8" w:color="auto"/>
            </w:tcBorders>
            <w:shd w:val="clear" w:color="auto" w:fill="CDF1FE"/>
          </w:tcPr>
          <w:p>
            <w:pPr>
              <w:spacing w:after="0"/>
              <w:rPr>
                <w:sz w:val="18"/>
                <w:szCs w:val="18"/>
                <w:color w:val="auto"/>
              </w:rPr>
            </w:pPr>
          </w:p>
        </w:tc>
        <w:tc>
          <w:tcPr>
            <w:tcW w:w="520" w:type="dxa"/>
            <w:vAlign w:val="bottom"/>
            <w:tcBorders>
              <w:bottom w:val="single" w:sz="8" w:color="auto"/>
            </w:tcBorders>
            <w:shd w:val="clear" w:color="auto" w:fill="CEF1F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EF1FE"/>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bottom w:val="single" w:sz="8" w:color="CEF1FE"/>
            </w:tcBorders>
            <w:shd w:val="clear" w:color="auto" w:fill="CEF1F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4996815</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Sale of Common Stock</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The Company did not sell any shares of common stock under the 2020 ATM during the nine months ended September 30, 2022. During the nine months ended September 30, 2021, the Company sold 10,399,548 shares of common stock under the 2020 ATM, for which the Company received net proceeds of $50.2 million, after deducting commissions, fees and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Plans and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2022, the Company’s stockholders approved an amendment to the Assembly Biosciences, Inc. 2018 Stock Incentive Plan (2018 Plan) that increased the aggregate number of shares of common stock reserved under the 2018 Plan to 8,600,000 and the Sixth Amended and Restated Certificate of Incorporation, which increased the authorized number of shares of common stock from 100,000,000 to 150,000,000.</w:t>
      </w:r>
    </w:p>
    <w:p>
      <w:pPr>
        <w:spacing w:after="0" w:line="1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September 30, 2022, the Company had awards outstanding under the following shareholder-approved plans: the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September 30, 2022, the Company also had awards outstanding under the Assembly Biosciences, Inc. 2017 Inducement Award Plan, the Assembly Biosciences, Inc. 2019 Inducement Award Plan and the Assembly Biosciences, Inc. 2020 Inducement Award Plan.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issues new shares of common stock to settle options exercised and vested RSUs. The Company also issues new shares of common stock in connection with purchases of shares of common stock by eligible employees under the Company’s Amended and Restated Assembly Biosciences, Inc. 2018 Employee Stock Purchase Plan.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Stock Plan Activity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for the nine months ended September 30, 2022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left="34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1560" w:type="dxa"/>
            <w:vAlign w:val="bottom"/>
          </w:tcPr>
          <w:p>
            <w:pPr>
              <w:jc w:val="right"/>
              <w:ind w:right="495"/>
              <w:spacing w:after="0" w:line="15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3"/>
                <w:szCs w:val="13"/>
                <w:color w:val="auto"/>
              </w:rPr>
            </w:pPr>
          </w:p>
        </w:tc>
        <w:tc>
          <w:tcPr>
            <w:tcW w:w="1060" w:type="dxa"/>
            <w:vAlign w:val="bottom"/>
          </w:tcPr>
          <w:p>
            <w:pPr>
              <w:jc w:val="center"/>
              <w:ind w:left="345"/>
              <w:spacing w:after="0" w:line="159" w:lineRule="exact"/>
              <w:rPr>
                <w:sz w:val="20"/>
                <w:szCs w:val="20"/>
                <w:color w:val="auto"/>
              </w:rPr>
            </w:pPr>
            <w:r>
              <w:rPr>
                <w:rFonts w:ascii="Times New Roman" w:cs="Times New Roman" w:eastAsia="Times New Roman" w:hAnsi="Times New Roman"/>
                <w:sz w:val="14"/>
                <w:szCs w:val="14"/>
                <w:b w:val="1"/>
                <w:bCs w:val="1"/>
                <w:color w:val="auto"/>
              </w:rPr>
              <w:t>Price</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center"/>
              <w:ind w:right="46"/>
              <w:spacing w:after="0" w:line="159" w:lineRule="exact"/>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5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5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6,161,901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8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11.77</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4,070,350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(791,036 )</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17.06</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2022</w:t>
            </w:r>
          </w:p>
        </w:tc>
        <w:tc>
          <w:tcPr>
            <w:tcW w:w="1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9,441,215</w:t>
            </w:r>
          </w:p>
        </w:tc>
        <w:tc>
          <w:tcPr>
            <w:tcW w:w="1260" w:type="dxa"/>
            <w:vAlign w:val="bottom"/>
            <w:gridSpan w:val="2"/>
          </w:tcPr>
          <w:p>
            <w:pPr>
              <w:jc w:val="right"/>
              <w:ind w:right="88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7.16</w:t>
            </w:r>
          </w:p>
        </w:tc>
        <w:tc>
          <w:tcPr>
            <w:tcW w:w="184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64"/>
        </w:trPr>
        <w:tc>
          <w:tcPr>
            <w:tcW w:w="404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Options vested and exercisable as of September 30,</w:t>
            </w:r>
          </w:p>
        </w:tc>
        <w:tc>
          <w:tcPr>
            <w:tcW w:w="156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4,222,191</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60" w:type="dxa"/>
            <w:vAlign w:val="bottom"/>
            <w:tcBorders>
              <w:bottom w:val="single" w:sz="8" w:color="auto"/>
            </w:tcBorders>
            <w:vMerge w:val="continue"/>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jc w:val="right"/>
              <w:ind w:right="88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11.52</w:t>
            </w:r>
          </w:p>
        </w:tc>
        <w:tc>
          <w:tcPr>
            <w:tcW w:w="1840" w:type="dxa"/>
            <w:vAlign w:val="bottom"/>
            <w:tcBorders>
              <w:bottom w:val="single" w:sz="8" w:color="CFF0FC"/>
            </w:tcBorders>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-422910</wp:posOffset>
            </wp:positionV>
            <wp:extent cx="359156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91560" cy="17970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-7620</wp:posOffset>
            </wp:positionV>
            <wp:extent cx="120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was $1.48 and $3.08 during the nine months ended September 30, 2022 and 2021, respectively. There were no options exercised during the three and nine months ended September 30, 2022 or 2021.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RSUs and related information for the nine months ended September 30, 2022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r>
      <w:tr>
        <w:trPr>
          <w:trHeight w:val="148"/>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100" w:type="dxa"/>
            <w:vAlign w:val="bottom"/>
          </w:tcPr>
          <w:p>
            <w:pPr>
              <w:spacing w:after="0"/>
              <w:rPr>
                <w:sz w:val="12"/>
                <w:szCs w:val="12"/>
                <w:color w:val="auto"/>
              </w:rPr>
            </w:pPr>
          </w:p>
        </w:tc>
      </w:tr>
      <w:tr>
        <w:trPr>
          <w:trHeight w:val="160"/>
        </w:trPr>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ind w:left="860"/>
              <w:spacing w:after="0" w:line="15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tcPr>
          <w:p>
            <w:pPr>
              <w:jc w:val="center"/>
              <w:ind w:right="338"/>
              <w:spacing w:after="0" w:line="159" w:lineRule="exact"/>
              <w:rPr>
                <w:sz w:val="20"/>
                <w:szCs w:val="20"/>
                <w:color w:val="auto"/>
              </w:rPr>
            </w:pPr>
            <w:r>
              <w:rPr>
                <w:rFonts w:ascii="Times New Roman" w:cs="Times New Roman" w:eastAsia="Times New Roman" w:hAnsi="Times New Roman"/>
                <w:sz w:val="14"/>
                <w:szCs w:val="14"/>
                <w:b w:val="1"/>
                <w:bCs w:val="1"/>
                <w:color w:val="auto"/>
              </w:rPr>
              <w:t>Value Per RSU</w:t>
            </w:r>
          </w:p>
        </w:tc>
        <w:tc>
          <w:tcPr>
            <w:tcW w:w="100" w:type="dxa"/>
            <w:vAlign w:val="bottom"/>
          </w:tcPr>
          <w:p>
            <w:pPr>
              <w:spacing w:after="0"/>
              <w:rPr>
                <w:sz w:val="13"/>
                <w:szCs w:val="13"/>
                <w:color w:val="auto"/>
              </w:rPr>
            </w:pPr>
          </w:p>
        </w:tc>
      </w:tr>
      <w:tr>
        <w:trPr>
          <w:trHeight w:val="189"/>
        </w:trPr>
        <w:tc>
          <w:tcPr>
            <w:tcW w:w="6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8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at Grant Price</w:t>
            </w:r>
          </w:p>
        </w:tc>
        <w:tc>
          <w:tcPr>
            <w:tcW w:w="100" w:type="dxa"/>
            <w:vAlign w:val="bottom"/>
          </w:tcPr>
          <w:p>
            <w:pPr>
              <w:spacing w:after="0"/>
              <w:rPr>
                <w:sz w:val="16"/>
                <w:szCs w:val="16"/>
                <w:color w:val="auto"/>
              </w:rPr>
            </w:pPr>
          </w:p>
        </w:tc>
      </w:tr>
      <w:tr>
        <w:trPr>
          <w:trHeight w:val="209"/>
        </w:trPr>
        <w:tc>
          <w:tcPr>
            <w:tcW w:w="6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970,339</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1,255,275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r>
      <w:tr>
        <w:trPr>
          <w:trHeight w:val="216"/>
        </w:trPr>
        <w:tc>
          <w:tcPr>
            <w:tcW w:w="760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(225,869 )</w:t>
            </w:r>
          </w:p>
        </w:tc>
        <w:tc>
          <w:tcPr>
            <w:tcW w:w="4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(162,696 )</w:t>
            </w:r>
          </w:p>
        </w:tc>
        <w:tc>
          <w:tcPr>
            <w:tcW w:w="4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8"/>
                <w:szCs w:val="18"/>
                <w:color w:val="auto"/>
              </w:rPr>
            </w:pPr>
          </w:p>
        </w:tc>
      </w:tr>
      <w:tr>
        <w:trPr>
          <w:trHeight w:val="249"/>
        </w:trPr>
        <w:tc>
          <w:tcPr>
            <w:tcW w:w="60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Nonvested as of September 30, 2022</w:t>
            </w:r>
          </w:p>
        </w:tc>
        <w:tc>
          <w:tcPr>
            <w:tcW w:w="1600" w:type="dxa"/>
            <w:vAlign w:val="bottom"/>
            <w:tcBorders>
              <w:top w:val="single" w:sz="8" w:color="auto"/>
              <w:bottom w:val="single" w:sz="8" w:color="auto"/>
            </w:tcBorders>
            <w:gridSpan w:val="2"/>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1,837,049</w:t>
            </w:r>
          </w:p>
        </w:tc>
        <w:tc>
          <w:tcPr>
            <w:tcW w:w="3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total fair value of RSUs vested and settled during the nine months ended September 30, 2022 and 2021 was $2.1 million and $3.5 million, respectively. The total intrinsic value of RSUs vested and settled during the nine months ended September 30, 2022 and 2021 was $0.5 million and $0.8 million, respectively.</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September 2019, the Company granted 100,000 RSUs with performance-based vesting conditions to its chief executive officer. In March 2021, 25,000 of these awards were forfeited back to the Company due to the expiration of the time period to complete one of the performance conditions. In July 2021, an additional 25,000 of these awards were forfeited back to the Company due to the expiration of the time period to complete one of the performance conditions. In September 2022, the remaining 50,000 awards were forfeited back to the Company due to the expiration of the time period to complete the remaining performance conditions. Accordingly, no stock-based compensation expense has been recognized as of September 30, 2022.</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2021, the Company granted a total of 324,214 RSUs, with performance-based vesting conditions upon the achievement of clinical milestones to the majority of employees, including its executive officers. The awards had a grant date fair value of $1.2 million and vest upon performance conditions not yet deemed probable. Accordingly, no stock-based compensation expense has been recognized as of September 30, 2022.</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5" w:name="page16"/>
    <w:bookmarkEnd w:id="15"/>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2022, the Company granted 255,000 RSUs with market-based vesting conditions to members of management, including its executive officers. The awards had a grant date fair value of $0.4 million and are being recognized over the derived service period of 1.5 years and vest upon the achievement of certain market-based conditions which have not been achieved as of September 30, 2022. The Company recognized stock-based compensation expense of $0.1 million and $0.2 million for these RSUs during the three and nine months ended September 30, 2022, respectively.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the Company granted 525,000 RSUs with performance-based vesting conditions upon the achievement of clinical milestones to its executive officers. The awards had a grant date fair value of $1.1 million and vest upon performance conditions not yet deemed probable. Accordingly, no stock-based compensation expense has been recognized as of September 30,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ESPP</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Employees purchased 134,888 and 42,803 shares of common stock under the 2018 ESPP during the nine months ended September 30, 2022 and 2021,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Assumptions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stock options granted or modified during the periods indicated was estimated using the Black-Scholes option pricing model, based on the following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34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34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200" w:type="dxa"/>
            <w:vAlign w:val="bottom"/>
          </w:tcPr>
          <w:p>
            <w:pPr>
              <w:spacing w:after="0"/>
              <w:rPr>
                <w:sz w:val="14"/>
                <w:szCs w:val="14"/>
                <w:color w:val="auto"/>
              </w:rPr>
            </w:pPr>
          </w:p>
        </w:tc>
        <w:tc>
          <w:tcPr>
            <w:tcW w:w="160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2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$2.19</w:t>
            </w:r>
          </w:p>
        </w:tc>
        <w:tc>
          <w:tcPr>
            <w:tcW w:w="20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$3.90</w:t>
            </w:r>
          </w:p>
        </w:tc>
        <w:tc>
          <w:tcPr>
            <w:tcW w:w="2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$2.45</w:t>
            </w:r>
          </w:p>
        </w:tc>
        <w:tc>
          <w:tcPr>
            <w:tcW w:w="20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$5.79</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- 91.2%</w:t>
            </w: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- 4.15%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- 1.24%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- 4.15%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- 1.37%</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- 7.5</w:t>
            </w: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0%</w:t>
            </w:r>
          </w:p>
        </w:tc>
        <w:tc>
          <w:tcPr>
            <w:tcW w:w="1820" w:type="dxa"/>
            <w:vAlign w:val="bottom"/>
            <w:gridSpan w:val="3"/>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0%</w:t>
            </w:r>
          </w:p>
        </w:tc>
        <w:tc>
          <w:tcPr>
            <w:tcW w:w="1820" w:type="dxa"/>
            <w:vAlign w:val="bottom"/>
            <w:gridSpan w:val="3"/>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0%</w:t>
            </w:r>
          </w:p>
        </w:tc>
        <w:tc>
          <w:tcPr>
            <w:tcW w:w="1800" w:type="dxa"/>
            <w:vAlign w:val="bottom"/>
            <w:gridSpan w:val="3"/>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0%</w:t>
            </w:r>
          </w:p>
        </w:tc>
      </w:tr>
    </w:tbl>
    <w:p>
      <w:pPr>
        <w:spacing w:after="0" w:line="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fair value of RSUs granted is determined based on the price of the Company’s common stock on the date of grant. The fair value of market-based RSUs granted is determined using the Monte-Carlo simulation model.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ESPP purchase rights and stock appreciation rights was not material for any period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components of total stock-based compensation expense included in the condensed consolidated statements of operations and comprehensive loss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1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r>
      <w:tr>
        <w:trPr>
          <w:trHeight w:val="20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2,044</w:t>
            </w:r>
          </w:p>
        </w:tc>
        <w:tc>
          <w:tcPr>
            <w:tcW w:w="1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2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w w:val="85"/>
              </w:rPr>
              <w:t>(1)</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2,536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3,532</w:t>
            </w:r>
          </w:p>
        </w:tc>
        <w:tc>
          <w:tcPr>
            <w:tcW w:w="260" w:type="dxa"/>
            <w:vAlign w:val="bottom"/>
          </w:tcPr>
          <w:p>
            <w:pPr>
              <w:spacing w:after="0"/>
              <w:rPr>
                <w:sz w:val="18"/>
                <w:szCs w:val="18"/>
                <w:color w:val="auto"/>
              </w:rPr>
            </w:pPr>
          </w:p>
        </w:tc>
      </w:tr>
      <w:tr>
        <w:trPr>
          <w:trHeight w:val="249"/>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1,556</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1,592</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4,580</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3,292</w:t>
            </w:r>
          </w:p>
        </w:tc>
        <w:tc>
          <w:tcPr>
            <w:tcW w:w="2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-24765</wp:posOffset>
            </wp:positionV>
            <wp:extent cx="1111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-7620</wp:posOffset>
            </wp:positionV>
            <wp:extent cx="111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120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120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1200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120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171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171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ind w:left="380" w:hanging="372"/>
        <w:spacing w:after="0" w:line="207" w:lineRule="auto"/>
        <w:tabs>
          <w:tab w:leader="none" w:pos="38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the reversal of previously recognized stock-based compensation expense of $4.1 million related to forfeited awards of terminated employees, $2.7 million of which resulted from the wind-down of the Company’s Microbiome program in January 2021.</w:t>
      </w:r>
    </w:p>
    <w:p>
      <w:pPr>
        <w:spacing w:after="0" w:line="14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As of September 30, 2022, there was $10.9 million of total unrecognized stock-based compensation related to outstanding equity awards, which is expected to be recognized over a weighted average remaining amortization period of 1.7 years.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8 - Collaboration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BeiGene Agreement</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July 2020, the Company and BeiGene, Ltd. (BeiGene) entered into a Collaboration Agreement (the BeiGene Agreement) to develop and commercialize the Company’s novel core inhibitor product candidates VBR, ABI-H2158 and ABI-H3733 (the Licensed Product Candidates) for chronic HBV infection in the People’s Republic of China, Hong Kong, Taiwan and Macau.</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of September 30, 2022, the only remaining performance obligation under the BeiGene Agreement not considered to be complete is the transfer of the ABI-H3733 License. The transaction price allocated to ABI-H3733 of $2.7 million was recognized as a long-term deferred revenue contract liability as of both September 30, 2022 and December 31, 2021, and will be recognized as revenue when the Company provides pre-Phase 3 clinical study know-how and development results for ABI-H3733 to BeiGene or a termination of the BeiGene Agreement for ABI-H3733. During the three and nine months ended September 30, 2022, the Company did not recognize any revenue or increase or reduction of research and development expense under the BeiGene Agreement. During the three and nine months ended September 30, 2021, the Company recognized $6.3 million as collaboration revenue for the amount allocated to ABI-H2158 upon discontinuation of the development of this compound.</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incurred $3.5 million in incremental costs of obtaining the BeiGene Agreement in 2020. These contract costs have been capitalized and are being recognized consistent with the pattern of recognition of revenue associated with the Licensed Product Candidates. As of September 30, 2022 and December 31, 2021, the remaining unamortized contract costs are $0.2 million and are included in other assets on the condensed consolidated balance sheet.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Arbutus Biopharma Agreement</w:t>
      </w:r>
    </w:p>
    <w:p>
      <w:pPr>
        <w:spacing w:after="0" w:line="18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August 2020, the Company and Arbutus Biopharma Corporation (Arbutus Biopharma) entered into a Clinical Trial Collaboration Agreement (the Arbutus Biopharma Agreement) to conduct a randomized, multi-center, open-label Phase 2 clinical trial to explore the safety, pharmacokinetics and antiviral activity of the triple combination of VBR, AB-729 and an NrtI compared to the double combinations of VBR with an NrtI and AB-729 with an NrtI. Under the Arbutus Biopharma Agreement, Assembly and Arbutus Biopharma share responsibility for the costs of the trial equally, excluding manufacturing supply which are the burden of each company to supply their respective drugs, VBR and AB-729. Assembly is responsible for conducting this clinical trial with Arbutus reimbursing Assembly its share of expenses.</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Reimbursements and cost-sharing portions from Arbutus are reflected as a reduction of research and development expense when realized in the Company’s condensed consolidated statements of operations. During the three and nine months ended September 30, 2022, the Company recognized a reduction of research and development expenses of $0.7 million and $1.9 million, respectively, under the Arbutus Biopharma Agreement. During the three and nine months ended September 30, 2021, the Company recognized a reduction of research and development expenses of $0.5 million and $1.3 million, respectively, under the Arbutus Biopharma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Antios Agreement</w:t>
      </w:r>
    </w:p>
    <w:p>
      <w:pPr>
        <w:spacing w:after="0" w:line="15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In July 2021, the Company and Antios Therapeutics, Inc. (Antios) entered into a Clinical Trial Collaboration Agreement (the Antios Agreement) to collaborate on a triple combination therapy using VBR and Antios’s active site polymerase inhibitor nucleotide ATI-2173 for the treatment of HBV. Assembly and Antios were individually responsible for the study’s manufacturing costs but equally shared the remaining costs of the study. Antios was responsible for conducting the clinical trial with Assembly reimbursing Antios its share of expenses. In May 2022, the Company was notified by Antios that ATI-2173 had been placed on clinical hold by the U.S. Food and Drug Administration following submission of a safety report involving a patient who received a triple combination of VBR, ATI-2173 and a nucleos(t)ide analog reverse transcriptase inhibitor. Due to the clinical hold, the Company terminated the Antios Agreement effective May 2022.</w:t>
      </w:r>
    </w:p>
    <w:p>
      <w:pPr>
        <w:spacing w:after="0" w:line="13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incurred $0.1 million and $0.4 million, respectively, in research and development expenses under the Antios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9 - Milestones and Research Agreements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HBV Research Agreement with Indiana University</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The Company paid IURTC $0.1 million in diligence maintenance fees during the nine months ended September 30, 2022. No amounts were paid during the nine months ended September 30,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Door Pharma Agreement</w:t>
      </w:r>
    </w:p>
    <w:p>
      <w:pPr>
        <w:spacing w:after="0" w:line="15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November 2020, the Company and Door Pharmaceuticals, LLC (Door Pharma) entered into an exclusive, two-year Collaboration Agreement and Sublicense Agreement (collectively, the Door Pharma Agreement) focused on the development of a novel class of HBV inhibitors. The Company terminated the Door Pharma Agreement in May 2022, which became effective September 2022, to focus its resources on its other internal HBV programs and its programs targeting other viruses. Under the terms of the Door Pharma Agreement, the Company was obligated to continue to reimburse Door Pharma for certain research and development costs through September 2022 following which such reimbursements ceased.</w:t>
      </w:r>
    </w:p>
    <w:p>
      <w:pPr>
        <w:spacing w:after="0" w:line="14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incurred research and development funding of $0.4 million and $1.6 million, respectively, under the Door Pharma Agreement. During the three and nine months ended September 30, 2021, the Company incurred research and development funding of $0.5 million and $1.3 million, respectively, under the Door Pharma Agreement. No success-based milestones were determined to have occurred under this agreement during the nine months ended September 30, 2022 or 2021.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The condensed consolidated financial statements and this Management’s Discussion and Analysis of Financial Condition and Results of Operations should be read in conjunction with the consolidated financial statements and notes thereto for the year ended December 31, 2021 and the related Management’s Discussion and Analysis of Financial Condition and Results of Operations, both of which are contained in our Annual Report on Form 10-K for the fiscal year ended December 31, 2021 filed with the U.S. Securities and Exchange Commission on March 11, 2022 (2021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2021 Annual Report and “Part II. Item 1A. Risk Factors” in this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discovery and development of innovative therapeutics targeting hepatitis B virus (HBV) and other viral diseases.</w:t>
      </w:r>
    </w:p>
    <w:p>
      <w:pPr>
        <w:spacing w:after="0" w:line="12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World Health Organization (WHO) estimates that 296 million people worldwide are chronically infected with HBV as of 2019. Our research and development organizations are pursuing multiple drug candidates designed to inhibit the HBV replication cycle and block the generation of covalently closed circular DNA (cccDNA), with the aim of discovering and developing finite and curative therapies for patients with chronic HBV (cHBV) infection. We currently have two novel core inhibitors in clinical development, which are small molecules that directly target and allosterically modulate the HBV</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core protein in a way that affects assembly and stability of HBV nucleocapsids. We are also advancing a preclinical program evaluating a novel small molecule approach to inhibit entry for HBV and hepatitis delta virus (HDV). HDV is estimated to impact approximately 5% of those chronically infected</w:t>
      </w:r>
    </w:p>
    <w:p>
      <w:pPr>
        <w:jc w:val="both"/>
        <w:spacing w:after="0" w:line="228" w:lineRule="auto"/>
        <w:rPr>
          <w:sz w:val="20"/>
          <w:szCs w:val="20"/>
          <w:color w:val="auto"/>
        </w:rPr>
      </w:pPr>
      <w:r>
        <w:rPr>
          <w:rFonts w:ascii="Times New Roman" w:cs="Times New Roman" w:eastAsia="Times New Roman" w:hAnsi="Times New Roman"/>
          <w:sz w:val="18"/>
          <w:szCs w:val="18"/>
          <w:color w:val="auto"/>
        </w:rPr>
        <w:t>with HBV, or approximately 12 million people worldwide. In addition, our research organization is working on discovering and developing a novel, small molecule interferon-α receptor (IFNAR) agonist designed to selectively activate the interferon-α pathway within the liver and offer the convenience of oral dosing.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continue our efforts to develop finite and curative therapies for patients with chronic HBV and improved chronic therapy for HDV infection, our</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research organization is also advancing preclinical programs: (1) a herpes simplex type 2 (HSV-2) long-acting helicase inhibitor for the treatment of recurrent genital herpes and (2) a pan-herpes non-nucleoside polymerase inhibitor (NNPI) for transplant-associated herpesvirus infections. These targets,</w:t>
      </w:r>
    </w:p>
    <w:p>
      <w:pPr>
        <w:jc w:val="both"/>
        <w:spacing w:after="0" w:line="233" w:lineRule="auto"/>
        <w:rPr>
          <w:sz w:val="20"/>
          <w:szCs w:val="20"/>
          <w:color w:val="auto"/>
        </w:rPr>
      </w:pPr>
      <w:r>
        <w:rPr>
          <w:rFonts w:ascii="Times New Roman" w:cs="Times New Roman" w:eastAsia="Times New Roman" w:hAnsi="Times New Roman"/>
          <w:sz w:val="18"/>
          <w:szCs w:val="18"/>
          <w:color w:val="auto"/>
        </w:rPr>
        <w:t>which were disclosed in the third quarter of 2022, were selected to leverage the deep antiviral expertise and experience of our research and development organizations against diseases with significant unmet medical need.</w:t>
      </w:r>
    </w:p>
    <w:p>
      <w:pPr>
        <w:spacing w:after="0" w:line="14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ongoing COVID-19 pandemic and its broad, global impacts, including supply chain disruptions, have impacted certain aspects of our business, including where and how our employees work in its labs and offices and how and when our nonclinical and clinical studies are conducted. Early in the pandemic, our clinical and nonclinical studies were largely unaffected, but as the pandemic has continued, its impacts have increased. Certain nonclinical animal studies, compound synthesis and shipping of compounds necessary for our research programs have each been delayed, and conduct of a clinical study in China (Study 203), which is currently in the process of being closed, was impacted by the shutdowns occurring in the first half of 2022 in China.</w:t>
      </w:r>
    </w:p>
    <w:p>
      <w:pPr>
        <w:spacing w:after="0" w:line="14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rely on contract research organizations (CROs) for our preclinical and clinical programs, some of which are in China and India, and some of these CROs have experienced pandemic-related impacts from time to time. In addition to the Company’s CROs in China and India, the Company also contracts with a CRO in Ukraine, which shut down operations due to Russia’s invasion. Though this CRO has resumed operations, we have reallocated certain work to other global CROs in case this CRO shuts down again.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Targeting HBV Core Protein to Achieve a Cure</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HBV is a DNA virus that infects hepatocytes and establishes a reservoir of cccDNA, a unique viral DNA moiety that resides in the cell nucleus of HBV-infected hepatocytes and is associated with viral persistence and chronic infection. No currently approved oral therapies target cccDNA activity directly,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which makes molecules that can modulate cccDNA generation or disrupt its function highly sought in the HBV field. As a result, most of our HBV research and development efforts to date have focused on discovering and developing compounds targeting the core protein, a viral protein involved in</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numerous aspects of the HBV replication cycle, including the generation of HBV cccDNA. Through our research efforts, we have discovered several chemically distinct series of small molecule core inhibitors that directly target and allosterically inhibit core protein functions.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9" w:name="page20"/>
    <w:bookmarkEnd w:id="19"/>
    <w:p>
      <w:pPr>
        <w:ind w:left="380"/>
        <w:spacing w:after="0"/>
        <w:rPr>
          <w:sz w:val="20"/>
          <w:szCs w:val="20"/>
          <w:color w:val="auto"/>
        </w:rPr>
      </w:pPr>
      <w:r>
        <w:rPr>
          <w:rFonts w:ascii="Times New Roman" w:cs="Times New Roman" w:eastAsia="Times New Roman" w:hAnsi="Times New Roman"/>
          <w:sz w:val="18"/>
          <w:szCs w:val="18"/>
          <w:i w:val="1"/>
          <w:iCs w:val="1"/>
          <w:color w:val="auto"/>
        </w:rPr>
        <w:t>Next Generation Core Inhibitors</w:t>
      </w:r>
    </w:p>
    <w:p>
      <w:pPr>
        <w:spacing w:after="0" w:line="14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connection with our discontinuation of the development of vebicorvir (VBR), our first-generation core inhibitor, discussed below, we have prioritized clinical development of our next-generation core inhibitors, ABI-H3733 (3733) and ABI-4334 (4334).</w:t>
      </w:r>
    </w:p>
    <w:p>
      <w:pPr>
        <w:spacing w:after="0" w:line="1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ABI-H3733</w:t>
      </w:r>
    </w:p>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first of two next-generation core inhibitor product candidates, 3733, was internally discovered and developed. The chemical scaffold of 3733 is novel and distinct from 4334 and both of our discontinued first-generation core inhibitor product candidates, VBR and ABI-H2158 (2158).</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preclinical studies, 3733 has demonstrated pan-genotypic activity and an improved resistance profile, as well as significantly increased potency and target coverage as compared to both VBR and 2158, with potency to prevent both formation of new virus and cccDNA, which is responsible for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maintaining the HBV viral reservoir. In 2020, we initiated and completed a Phase 1a clinical study of 3733 to evaluate safety, tolerability and pharmacokinetics (PK) following single ascending dose and multiple ascending dose administration in healthy subjects in New Zealand. Preliminary data indicate that 3733 was generally well-tolerated and had favorable PK. Results detailing 3733’s safety and PK from this study were presented in a poster</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presentation at AASLD 2021. In 2021, following the completion of the Phase 1a trial, our chemistry, manufacturing and controls (CMC) organization developed a new tablet formulation to support Phase 1b for 3733.</w:t>
      </w:r>
    </w:p>
    <w:p>
      <w:pPr>
        <w:spacing w:after="0" w:line="13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at EASL 2021, we presented observations on 3733’s enhanced potency and target coverage for both antiviral activity and inhibition of cccDNA generation as compared to VBR and ABI-H2158 (2158). At EASL 2022, we presented 3733’s improved PK profile resulting from the new formulation activities mentioned above.</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June 2022, we initiated a randomized, multi-center, double-blind and placebo-controlled Phase 1b trial of 3733 evaluating the safety, PK and antiviral activity of 3733 in adults with cHBV infection. Initial data from this study are expected by the end of 2022.</w:t>
      </w:r>
    </w:p>
    <w:p>
      <w:pPr>
        <w:spacing w:after="0" w:line="3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ABI-4334</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mid-2021, we announced the selection of 4334, the second of our two next-generation core inhibitor product candidates. As with all of our core inhibitor product candidates nominated after VBR, 4334 was internally discovered and developed. In addition, the chemical scaffold of 4334 is also novel and distinct from VBR, 3733 and 2158.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nominated 4334 based on a preclinical target drug profile that indicates enhanced target coverage and potency to prevent both formation of new virus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and cccDNA, which is responsible for maintaining the HBV viral reservoir. We believe that 4334 has a best-in-class preclinical profile, with single-digit nanomolar potency against the production of new virus and the formation of cccDNA. Preclinically to date, 4334 has also demonstrated pan-genotypic</w:t>
      </w:r>
    </w:p>
    <w:p>
      <w:pPr>
        <w:jc w:val="both"/>
        <w:spacing w:after="0" w:line="218" w:lineRule="auto"/>
        <w:rPr>
          <w:sz w:val="20"/>
          <w:szCs w:val="20"/>
          <w:color w:val="auto"/>
        </w:rPr>
      </w:pPr>
      <w:r>
        <w:rPr>
          <w:rFonts w:ascii="Times New Roman" w:cs="Times New Roman" w:eastAsia="Times New Roman" w:hAnsi="Times New Roman"/>
          <w:sz w:val="18"/>
          <w:szCs w:val="18"/>
          <w:color w:val="auto"/>
        </w:rPr>
        <w:t>activity, an improved resistance profile and a favorable safety profile. Preclinical characterization of 4334 was shared in a poster presentation at AASLD in November 2021. At EASL 2022, we presented preclinical data demonstrating that 4334 promotes formation of empty capsids and prevents cccDNA formation by disrupting incoming capsids. At the American Association for the Study of Liver Diseases (AASLD) The Liver Meeting® in November 2022</w:t>
      </w:r>
    </w:p>
    <w:p>
      <w:pPr>
        <w:spacing w:after="0" w:line="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(AASLD 2022), we presented preclinical data demonstrating that 4334 also accelerates capsid assembly and inhibits cccDNA formation through multiple pathways.</w:t>
      </w:r>
    </w:p>
    <w:p>
      <w:pPr>
        <w:spacing w:after="0" w:line="1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October 2022, we initiated a Phase 1a clinical study of 4334 to evaluate safety, tolerability and PK following single ascending dose and multiple ascending dose administration in healthy subjects in New Zealand.</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Vebicorvir</w:t>
      </w:r>
    </w:p>
    <w:p>
      <w:pPr>
        <w:spacing w:after="0" w:line="15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VBR is licensed from Indiana University. The conduct of our initial Phase 2 studies, Study 201, 202 and 211, is complete. In Study 201 and 202, VBR administered with nucleos(t) analog reverse transcriptase (NrtI) therapy demonstrated a favorable safety profile and led to greater viral suppression of both HBV DNA and viral pgRNA than NrtI therapy alone. However, patients who stopped therapy in Study 211 did not achieve sustained virologic response as all patients relapsed, meaning they had detectable HBV off therapy, and the dual combination therapy of VBR + NrtI was insufficient to cure chronic HBV infection in the studied population.</w:t>
      </w:r>
    </w:p>
    <w:p>
      <w:pPr>
        <w:spacing w:after="0" w:line="13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At the AASLD Annual Meeting in November 2021, we presented additional follow-up data from Study 211 demonstrating that patients had increases of HBV DNA and pgRNA after discontinuation of VBR despite continued NrtI treatment, further supporting that core inhibitors deepen viral suppression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with NrtIs. At the EASL</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20" w:name="page21"/>
    <w:bookmarkEnd w:id="20"/>
    <w:p>
      <w:pPr>
        <w:jc w:val="both"/>
        <w:spacing w:after="0" w:line="194" w:lineRule="auto"/>
        <w:rPr>
          <w:sz w:val="20"/>
          <w:szCs w:val="20"/>
          <w:color w:val="auto"/>
        </w:rPr>
      </w:pPr>
      <w:r>
        <w:rPr>
          <w:rFonts w:ascii="Times New Roman" w:cs="Times New Roman" w:eastAsia="Times New Roman" w:hAnsi="Times New Roman"/>
          <w:sz w:val="18"/>
          <w:szCs w:val="18"/>
          <w:color w:val="auto"/>
        </w:rPr>
        <w:t>International Liver Congress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 June 2022 (EASL 2022), we presented additional VBR data related to the correlation between deeper virologic suppression and fibrosis-4 index in treatment naïve patients with HBeAg positive chronic HBV infection, an evaluation of the drug-drug interaction profile</w:t>
      </w:r>
    </w:p>
    <w:p>
      <w:pPr>
        <w:spacing w:after="0"/>
        <w:rPr>
          <w:sz w:val="20"/>
          <w:szCs w:val="20"/>
          <w:color w:val="auto"/>
        </w:rPr>
      </w:pPr>
      <w:r>
        <w:rPr>
          <w:rFonts w:ascii="Times New Roman" w:cs="Times New Roman" w:eastAsia="Times New Roman" w:hAnsi="Times New Roman"/>
          <w:sz w:val="18"/>
          <w:szCs w:val="18"/>
          <w:color w:val="auto"/>
        </w:rPr>
        <w:t>of VBR and an evaluation of the disposition and mass balance recovery of VBR in rats and humans.</w:t>
      </w:r>
    </w:p>
    <w:p>
      <w:pPr>
        <w:spacing w:after="0" w:line="13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Based on discussions with leading viral hepatitis experts, global regulatory discussions and feedback, and, with respect to the China territory, discussions and agreement with our collaboration partner, BeiGene, Ltd. (BeiGene), in early 2021, we decided to not move forward with the global registrational studies for VBR as a chronic suppressive therapy (CST) in combination with NrtI. The decision was made to focus on the greatest unmet medical need of</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patients, which lies predominantly in cure, rather than CST. As a result, we began to focus our efforts with VBR in combination with NrtI and additional mechanisms targeting finite and curative combination therapy.</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currently have three Phase 2 triple combination studies involving VBR ongoing, two of which have been terminated early and are in the process of being closed down. These studies are detailed below. See “—Multi-Drug Combination Studies.” In July 2022, we announced that we have discontinued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clinical development of VBR based on review of interim on-treatment efficacy from two triple combination studies.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ABI-H2158</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September 2021, we discontinued development of 2158 following the observation of elevated alanine transaminase levels in the Phase 2 clinical study consistent with drug-induced hepatotoxicity.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Multi-Drug Combination Studies</w:t>
      </w:r>
    </w:p>
    <w:p>
      <w:pPr>
        <w:spacing w:after="0" w:line="1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believe that core inhibitors and NrtI will be central to finite and curative therapies for cHBV infection. Therefore, as we have continued to develop and advance our current and future next-generation core inhibitors through clinical studies, we have also initiated multi-drug combination studies in parallel that</w:t>
      </w:r>
    </w:p>
    <w:p>
      <w:pPr>
        <w:jc w:val="both"/>
        <w:spacing w:after="0" w:line="211" w:lineRule="auto"/>
        <w:rPr>
          <w:sz w:val="20"/>
          <w:szCs w:val="20"/>
          <w:color w:val="auto"/>
        </w:rPr>
      </w:pPr>
      <w:r>
        <w:rPr>
          <w:rFonts w:ascii="Times New Roman" w:cs="Times New Roman" w:eastAsia="Times New Roman" w:hAnsi="Times New Roman"/>
          <w:sz w:val="18"/>
          <w:szCs w:val="18"/>
          <w:color w:val="auto"/>
        </w:rPr>
        <w:t>add additional drugs (or compounds) with nonoverlapping mechanisms of action to the first-generation core inhibitor + NrtI antiviral backbone. We currently have three ongoing triple combination studies with VBR, two of which have been discontinued early and are in the process of being closed down,</w:t>
      </w:r>
    </w:p>
    <w:p>
      <w:pPr>
        <w:spacing w:after="0"/>
        <w:rPr>
          <w:sz w:val="20"/>
          <w:szCs w:val="20"/>
          <w:color w:val="auto"/>
        </w:rPr>
      </w:pPr>
      <w:r>
        <w:rPr>
          <w:rFonts w:ascii="Times New Roman" w:cs="Times New Roman" w:eastAsia="Times New Roman" w:hAnsi="Times New Roman"/>
          <w:sz w:val="18"/>
          <w:szCs w:val="18"/>
          <w:color w:val="auto"/>
        </w:rPr>
        <w:t>as described in more detail below.</w:t>
      </w:r>
    </w:p>
    <w:p>
      <w:pPr>
        <w:spacing w:after="0" w:line="13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first triple combination study, Study 204, is being conducted pursuant to a Clinical Trial Agreement with Arbutus Biopharma Corporation (Arbutus Biopharma) and consists of a randomized, multi-center, open-label Phase 2 clinical study to explore the safety, PK and antiviral activity of the triple combination of VBR, NrtI and AB-729 (Arbutus Biopharma’s investigational RNAi candidate) compared to the double combinations of VBR + NrtI and</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AB-729 + NrtI in virologically suppressed patients. This clinical study initiated in the first quarter of 2021 and completed enrollment in February 2022. In consultation with Arbutus Biopharma, we agreed to continue Study 204 and evaluate the primary endpoints of safety and tolerability of the combination</w:t>
      </w:r>
    </w:p>
    <w:p>
      <w:pPr>
        <w:spacing w:after="0"/>
        <w:rPr>
          <w:sz w:val="20"/>
          <w:szCs w:val="20"/>
          <w:color w:val="auto"/>
        </w:rPr>
      </w:pPr>
      <w:r>
        <w:rPr>
          <w:rFonts w:ascii="Times New Roman" w:cs="Times New Roman" w:eastAsia="Times New Roman" w:hAnsi="Times New Roman"/>
          <w:sz w:val="18"/>
          <w:szCs w:val="18"/>
          <w:color w:val="auto"/>
        </w:rPr>
        <w:t>regimen. At AASLD 2022, we and Arbutus Biopharma presented an interim analysis from Study 204.</w:t>
      </w:r>
    </w:p>
    <w:p>
      <w:pPr>
        <w:spacing w:after="0" w:line="1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Our second triple combination study evaluated VBR and NrtI in combination with interferon-α in treatment-naïve HBeAg positive subjects. This study was also initiated in the first quarter of 2021 and completed enrollment in March 2022.</w:t>
      </w:r>
    </w:p>
    <w:p>
      <w:pPr>
        <w:spacing w:after="0" w:line="9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connection with the decision to discontinue further development of VBR, we announced the early termination of Study 203 in July 2022. The interim data from Study 204 and Study 203 indicate that the triple combinations do not show a benefit in multiple key viral parameters compared to the dual combinations without VBR in either study and informed our decision to discontinue further development of VBR.</w:t>
      </w:r>
    </w:p>
    <w:p>
      <w:pPr>
        <w:spacing w:after="0" w:line="14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third triple combination study was initiated in April 2022 pursuant to a Clinical Trial Collaboration Agreement with Antios Therapeutics, Inc. (Antios) to evaluate ATI-2173, Antios’s investigational proprietary active site polymerase inhibitor nucleotide (ASPIN), VBR and tenofovir disoproxil fumarate, an NrtI. This multi-center, double-blinded, placebo-controlled study was designed to explore the safety, PK and antiviral activity of this all-oral triple combination. This study, which was expected to enroll ten treatment-naïve or off-treatment HBeAg negative or positive patients in a 12-week treatment study, was initiated in April 2022. On May 18, 2022, we were notified by Antios that ATI-2173, Antios’s ASPIN, had been placed on clinical hold by the U.S. Food and Drug Administration (FDA) following submission of a safety report involving a patient who received a triple combination of the VBR + ATI-2173 + NrtI. Effective May 20, 2022, because of the clinical hold, we terminated the Clinical Trial Collaboration Agreement and Antios, as the sponsor, is closing the study. We expect close down activities of this study will be complete before the end of 2022.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Expansion: Additional HBV Targets, HDV, HSV-2 and Transplant-Associated Herpesviruses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development and advancement of our core inhibitor portfolio and our current and future multi-drug combination studies, our research and</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development team is working on discovering and developing small molecules to inhibit HBV and HDV viral entry and small molecule interferon-α receptor (IFNAR) agonists, to complement our HBV cure strategy. We have also expanded our drug candidate pipeline beyond HBV through the introduction of two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herpesviruses programs: (1) a long-acting HSV-2 helicase inhibitor and (2) a pan-herpes NNPI for transplant-associated herpesvirus infections.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HBV/HDV Entry Inhibitor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2022, we announced our new research program focused on a novel, orally bioavailable small molecule approach to inhibit entry of HBV and</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HDV. While HDV is less well known in the United States, it is a significant and serious health problem with inadequate treatment in many parts of Europe, Africa, the Middle East, East Asia and parts of South America. HDV is a “satellite virus,” because it can only infect people (1) that are already infected</w:t>
      </w:r>
    </w:p>
    <w:p>
      <w:pPr>
        <w:jc w:val="both"/>
        <w:spacing w:after="0" w:line="218" w:lineRule="auto"/>
        <w:rPr>
          <w:sz w:val="20"/>
          <w:szCs w:val="20"/>
          <w:color w:val="auto"/>
        </w:rPr>
      </w:pPr>
      <w:r>
        <w:rPr>
          <w:rFonts w:ascii="Times New Roman" w:cs="Times New Roman" w:eastAsia="Times New Roman" w:hAnsi="Times New Roman"/>
          <w:sz w:val="18"/>
          <w:szCs w:val="18"/>
          <w:color w:val="auto"/>
        </w:rPr>
        <w:t>with HBV or (2) at the same time as a person is infected with HBV. HDV is known to accelerate disease progression and increase the incidence of liver cirrhosis and liver cancer, which results in higher morbidity and mortality rates than HBV alone. The current standard of care treatment for HDV is off-label pegylated interferon injected weekly or, in some regions, bulevirtide, a large, complex molecule that requires daily injections. Our research team has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identified a potential opportunity to develop a safe and effective oral small molecule, which could significantly improve convenience and potentially enhance treatment uptake and diagnosis rates. Based on current progress, our aim is to nominate a product candidate for development in 2023. At AASLD,</w:t>
      </w:r>
    </w:p>
    <w:p>
      <w:pPr>
        <w:spacing w:after="0"/>
        <w:rPr>
          <w:sz w:val="20"/>
          <w:szCs w:val="20"/>
          <w:color w:val="auto"/>
        </w:rPr>
      </w:pPr>
      <w:r>
        <w:rPr>
          <w:rFonts w:ascii="Times New Roman" w:cs="Times New Roman" w:eastAsia="Times New Roman" w:hAnsi="Times New Roman"/>
          <w:sz w:val="18"/>
          <w:szCs w:val="18"/>
          <w:color w:val="auto"/>
        </w:rPr>
        <w:t>we presented the preclinical characterization of our novel class of highly potent small molecule HBV/HDV entry inhibitors.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IFNAR Agonist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2022, we introduced our new research program advancing a novel, small molecule IFNAR agonist designed to selectively activate the interferon-α</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pathway within the liver and offer the convenience of oral dosing. Interferon-α (IFN-α) is a subcutaneous injectable therapy approved for HBV that has demonstrated functional cure in some HBV patients, but its poor tolerability profile significantly limits its use. Substantial side effects include flu-like</w:t>
      </w:r>
    </w:p>
    <w:p>
      <w:pPr>
        <w:jc w:val="both"/>
        <w:spacing w:after="0" w:line="233" w:lineRule="auto"/>
        <w:rPr>
          <w:sz w:val="20"/>
          <w:szCs w:val="20"/>
          <w:color w:val="auto"/>
        </w:rPr>
      </w:pPr>
      <w:r>
        <w:rPr>
          <w:rFonts w:ascii="Times New Roman" w:cs="Times New Roman" w:eastAsia="Times New Roman" w:hAnsi="Times New Roman"/>
          <w:sz w:val="18"/>
          <w:szCs w:val="18"/>
          <w:color w:val="auto"/>
        </w:rPr>
        <w:t>symptoms, cytopenias, serious depression and psychiatric effects. In addition, multiple contraindications limit its use, and it requires weekly injections that result in systemic exposure for up to a year.</w:t>
      </w:r>
    </w:p>
    <w:p>
      <w:pPr>
        <w:spacing w:after="0" w:line="13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By focusing exposure on the liver, our investigational IFNAR agonist program aims to engage interferon-α’s validated antiviral and immune modulatory mechanisms, retaining the efficacy of IFN-α while reducing systemic exposure to improve tolerability. Lead optimization of multiple agonists is progress.</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At AASLD, we presented the preclinical characterization of our novel liver-focused small molecule efficiently inhibiting HBV by activating type 1 interferon signaling.</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HSV-2</w:t>
      </w:r>
    </w:p>
    <w:p>
      <w:pPr>
        <w:spacing w:after="0" w:line="14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Up to 13 million people suffer from highly-recurrent HSV-2, which results in painful lesions occurring six or more times per year, transmission risk (including neonatal transmission) and increased risk of HIV infection, as well as associated psychological stress.</w:t>
      </w:r>
    </w:p>
    <w:p>
      <w:pPr>
        <w:spacing w:after="0" w:line="12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Helicase-primase inhibitors are antiviral agents with a novel mechanism of action. They inhibit the viral protein complex consisting of helicase, primase, and cofactor subunits, which have functions that are essential for viral DNA replication. These agents are not nucleoside analogues and do not require phosphorylation by the HSV thymidine kinase (TK) to become active drugs; therefore, helicase-primase inhibitors are active immediately upon reactivation</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of latent HSV. Furthermore, helicase-primase inhibitors are active against TK-deficient HSV, which is a major mechanism of resistance to nucleoside analogues. Additionally, an investigational helicase/primase inhibitor, pritelivir, has shown data indicating improved clinical efficacy as compared to</w:t>
      </w:r>
    </w:p>
    <w:p>
      <w:pPr>
        <w:spacing w:after="0"/>
        <w:rPr>
          <w:sz w:val="20"/>
          <w:szCs w:val="20"/>
          <w:color w:val="auto"/>
        </w:rPr>
      </w:pPr>
      <w:r>
        <w:rPr>
          <w:rFonts w:ascii="Times New Roman" w:cs="Times New Roman" w:eastAsia="Times New Roman" w:hAnsi="Times New Roman"/>
          <w:sz w:val="18"/>
          <w:szCs w:val="18"/>
          <w:color w:val="auto"/>
        </w:rPr>
        <w:t>valacyclovir, an approved HSV-2 antiviral therapy, through greater reductions in HSV shedding, fewer days with lesions and fewer days with pain.</w:t>
      </w:r>
    </w:p>
    <w:p>
      <w:pPr>
        <w:spacing w:after="0" w:line="1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Although there are approved antiviral therapies targeting HSV-2, these current therapies are only partially effective and require taking one or more pills daily. Due to the limitations of current therapies, we identified an opportunity to develop a potent, long-acting injectable antiviral with the ability to improve efficacy, convenience and patient compliance. We are targeting a subcutaneous injection that would be administered on a monthly or less frequent basis.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nominate a product candidate for development in 2023.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i w:val="1"/>
          <w:iCs w:val="1"/>
          <w:color w:val="auto"/>
        </w:rPr>
        <w:t>Transplant-Associated Herpesviruses</w:t>
      </w:r>
    </w:p>
    <w:p>
      <w:pPr>
        <w:spacing w:after="0" w:line="14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 transplant setting, when patients are experiencing immunosuppression, they are at high risk of uncontrolled viral replication and severe disease brought on by one or more members of the herpesvirus family of viruses including cytomegalovirus (CMV), herpes simplex type 1, HSV-2 and varicella zoster virus (VZV). Each of these herpesviruses are highly prevalent, as approximately (1) 60% of the population is CMV-positive; (2) 60% of the population is</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HSV-positive; and (3) 80% of the population is VZV-positive. These viruses establish lifelong latent infections and frequently reactivate in transplant patients due to immune suppression. These uncontrolled viral infections increase risk of serious complications, including organ rejection and death.</w:t>
      </w:r>
    </w:p>
    <w:p>
      <w:pPr>
        <w:spacing w:after="0" w:line="14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As with HSV-2, there are approved antivirals that are administered in a transplant setting, but they are limited by a narrow spectrum (no approved drug is effective against all of the herpesviruses indicated above), potentially serious side effects and significant drug-drug interactions. As a result of these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limitations, we identified an opportunity in an oral pan-herpes NNPI for these transplant-associated herpesvirus infections, which would greatly simplify treatment. Our research team has discovered multiple series of potent, broad-spectrum herpesvirus polymerase inhibitors, and we expect to advance these compounds into preclinical safety testing in the second half of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Discontinued Programs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2020, we entered into an exclusive, two-year collaboration and option agreement with Door Pharmaceuticals, LLC (Door Pharma) focused on</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the development of a novel class of HBV inhibitors known as cccDNA disruptors. We terminated the collaboration and development efforts in May 2022. and the termination was effective in September 2022. Prior to the termination of collaboration with Door Pharma, we worked with Door Pharma on</w:t>
      </w:r>
    </w:p>
    <w:p>
      <w:pPr>
        <w:jc w:val="both"/>
        <w:spacing w:after="0" w:line="233" w:lineRule="auto"/>
        <w:rPr>
          <w:sz w:val="20"/>
          <w:szCs w:val="20"/>
          <w:color w:val="auto"/>
        </w:rPr>
      </w:pPr>
      <w:r>
        <w:rPr>
          <w:rFonts w:ascii="Times New Roman" w:cs="Times New Roman" w:eastAsia="Times New Roman" w:hAnsi="Times New Roman"/>
          <w:sz w:val="18"/>
          <w:szCs w:val="18"/>
          <w:color w:val="auto"/>
        </w:rPr>
        <w:t>identifying cccDNA disruptors aimed at inhibiting different intra-nuclear steps in the viral replication cycle that complement the activity of our core inhibitors.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terminated this collaboration to focus resources on our other internal HBV programs and programs targeting other viruses.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previously announced, in January 2021, we wound down our Microbiome program to prioritize and focus our resources on our virology programs. Our Microbiome program had been developing a novel class of oral live microbial biotherapeutics candidates designed to treat disorders associated with the microbiome.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currently have corporate and administrative offices and research laboratory space in South San Francisco, California as well as registrational offices in China.</w:t>
      </w:r>
    </w:p>
    <w:p>
      <w:pPr>
        <w:spacing w:after="0" w:line="14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staffing our company, licensing our product candidates, discovering and developing our product candidates, maintaining and improving our patent portfolio and raising capital.</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have generated significant losses to date, and we expect to continue to generate losses as we develop our product candidates. As of September 30, 2022, we had an accumulated deficit of $702.1 million. Because we do not generate revenue from any of our product candidates, our losses will continue as we</w:t>
      </w:r>
    </w:p>
    <w:p>
      <w:pPr>
        <w:jc w:val="both"/>
        <w:spacing w:after="0" w:line="211" w:lineRule="auto"/>
        <w:rPr>
          <w:sz w:val="20"/>
          <w:szCs w:val="20"/>
          <w:color w:val="auto"/>
        </w:rPr>
      </w:pPr>
      <w:r>
        <w:rPr>
          <w:rFonts w:ascii="Times New Roman" w:cs="Times New Roman" w:eastAsia="Times New Roman" w:hAnsi="Times New Roman"/>
          <w:sz w:val="18"/>
          <w:szCs w:val="18"/>
          <w:color w:val="auto"/>
        </w:rPr>
        <w:t>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w:t>
      </w:r>
    </w:p>
    <w:p>
      <w:pPr>
        <w:spacing w:after="0"/>
        <w:rPr>
          <w:sz w:val="20"/>
          <w:szCs w:val="20"/>
          <w:color w:val="auto"/>
        </w:rPr>
      </w:pPr>
      <w:r>
        <w:rPr>
          <w:rFonts w:ascii="Times New Roman" w:cs="Times New Roman" w:eastAsia="Times New Roman" w:hAnsi="Times New Roman"/>
          <w:sz w:val="18"/>
          <w:szCs w:val="18"/>
          <w:color w:val="auto"/>
        </w:rPr>
        <w:t>unable to predict the extent of any future losses or when we will become profitable, if at all.</w:t>
      </w:r>
    </w:p>
    <w:p>
      <w:pPr>
        <w:spacing w:after="0" w:line="1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COVID-19 pandemic resulted in substantially all of our U.S.-based non-research employees working from their homes beginning in mid-March 2020. In addition, we took the additional step of requiring all of our employees be fully vaccinated against COVID-19. As government restrictions have relaxed, our employees began returning to the office during the first quarter of 2022. We have adopted a hybrid working model, which allows our employees flexibility regarding when and how frequently to return to the office.</w:t>
      </w:r>
    </w:p>
    <w:p>
      <w:pPr>
        <w:spacing w:after="0" w:line="1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has not been any significant interruption essential activities at our offices, including work in our laboratories with proper protections and procedures in place. Certain nonclinical animal studies and shipping of compounds necessary for our research programs have each been delayed, and conduct of Study 203, which is currently in the process of being closed, was impacted by the shutdowns occurring in the first half of 2022 in China.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23" w:name="page24"/>
    <w:bookmarkEnd w:id="23"/>
    <w:p>
      <w:pPr>
        <w:jc w:val="both"/>
        <w:ind w:right="100"/>
        <w:spacing w:after="0" w:line="235" w:lineRule="auto"/>
        <w:rPr>
          <w:sz w:val="20"/>
          <w:szCs w:val="20"/>
          <w:color w:val="auto"/>
        </w:rPr>
      </w:pPr>
      <w:r>
        <w:rPr>
          <w:rFonts w:ascii="Times New Roman" w:cs="Times New Roman" w:eastAsia="Times New Roman" w:hAnsi="Times New Roman"/>
          <w:sz w:val="17"/>
          <w:szCs w:val="17"/>
          <w:color w:val="auto"/>
        </w:rPr>
        <w:t>We continually work with our CROs and other vendors to ensure, to the extent possible, that services are provided in a timely manner while also identifying alternative vendors and strategies to utilize in the event that COVID- or third party-related delays threaten our ability to meet our timelines. However, some</w:t>
      </w:r>
    </w:p>
    <w:p>
      <w:pPr>
        <w:spacing w:after="0" w:line="1"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18"/>
          <w:szCs w:val="18"/>
          <w:color w:val="auto"/>
        </w:rPr>
        <w:t>of our CROs are in China and India, and these CROs have experienced pandemic-related impacts from time to time. We cannot currently predict the specific extent, duration or full impact the COVID-19 pandemic will have on our ongoing and planned research efforts, clinical studies and other business operations. We continue to monitor the situation regularly for additional potential delays, or modifications to our ongoing and planned studies and, if circumstances warrant, we may adjust our budget and operating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condensed consolidated financial</w:t>
      </w:r>
    </w:p>
    <w:p>
      <w:pPr>
        <w:spacing w:after="0" w:line="2" w:lineRule="exact"/>
        <w:rPr>
          <w:sz w:val="20"/>
          <w:szCs w:val="20"/>
          <w:color w:val="auto"/>
        </w:rPr>
      </w:pPr>
    </w:p>
    <w:p>
      <w:pPr>
        <w:jc w:val="both"/>
        <w:ind w:right="100"/>
        <w:spacing w:after="0" w:line="225" w:lineRule="auto"/>
        <w:rPr>
          <w:sz w:val="20"/>
          <w:szCs w:val="20"/>
          <w:color w:val="auto"/>
        </w:rPr>
      </w:pPr>
      <w:r>
        <w:rPr>
          <w:rFonts w:ascii="Times New Roman" w:cs="Times New Roman" w:eastAsia="Times New Roman" w:hAnsi="Times New Roman"/>
          <w:sz w:val="18"/>
          <w:szCs w:val="18"/>
          <w:color w:val="auto"/>
        </w:rPr>
        <w:t>statements, which have been prepared in accordance with accounting principles generally accepted in the United States (U.S. GAAP). The preparation of these financial statements requires us to make estimates and assumptions that affect the reported amounts of assets, liabilities, revenues, and expenses.</w:t>
      </w:r>
    </w:p>
    <w:p>
      <w:pPr>
        <w:spacing w:after="0" w:line="131"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8"/>
          <w:szCs w:val="18"/>
          <w:color w:val="auto"/>
        </w:rPr>
        <w:t>We evaluate our estimates and judgments, including those related to research and development expense and accruals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0"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2021 Annual Report. Our critical accounting policies and significant estimates have not changed from those previously disclosed in our 2021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collaboration revenue (in thousands, except for percentages):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0" w:type="dxa"/>
            <w:vAlign w:val="bottom"/>
          </w:tcPr>
          <w:p>
            <w:pPr>
              <w:spacing w:after="0"/>
              <w:rPr>
                <w:sz w:val="14"/>
                <w:szCs w:val="14"/>
                <w:color w:val="auto"/>
              </w:rPr>
            </w:pPr>
          </w:p>
        </w:tc>
        <w:tc>
          <w:tcPr>
            <w:tcW w:w="16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6,254</w:t>
            </w:r>
          </w:p>
        </w:tc>
        <w:tc>
          <w:tcPr>
            <w:tcW w:w="26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(6,254 )</w:t>
            </w:r>
          </w:p>
        </w:tc>
        <w:tc>
          <w:tcPr>
            <w:tcW w:w="2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collaboration revenue for the three months ended September 30, 2022. Collaboration revenue for the three months ended September 30, 2021</w:t>
      </w:r>
    </w:p>
    <w:p>
      <w:pPr>
        <w:spacing w:after="0" w:line="2"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consists of the recognition of deferred revenue allocated to 2158 under the Collaboration Agreement with BeiGene (the BeiGene Agreement) upon discontinuing development of 2158.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3220" w:type="dxa"/>
            <w:vAlign w:val="bottom"/>
            <w:tcBorders>
              <w:bottom w:val="single" w:sz="8" w:color="auto"/>
            </w:tcBorders>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3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09"/>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800" w:type="dxa"/>
            <w:vAlign w:val="bottom"/>
            <w:tcBorders>
              <w:top w:val="single" w:sz="8" w:color="auto"/>
            </w:tcBorders>
            <w:shd w:val="clear" w:color="auto" w:fill="CCECFF"/>
          </w:tcPr>
          <w:p>
            <w:pPr>
              <w:spacing w:after="0"/>
              <w:rPr>
                <w:sz w:val="18"/>
                <w:szCs w:val="18"/>
                <w:color w:val="auto"/>
              </w:rPr>
            </w:pPr>
          </w:p>
        </w:tc>
        <w:tc>
          <w:tcPr>
            <w:tcW w:w="640" w:type="dxa"/>
            <w:vAlign w:val="bottom"/>
            <w:tcBorders>
              <w:top w:val="single" w:sz="8" w:color="auto"/>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1340" w:type="dxa"/>
            <w:vAlign w:val="bottom"/>
            <w:tcBorders>
              <w:top w:val="single" w:sz="8" w:color="auto"/>
            </w:tcBorders>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00" w:type="dxa"/>
            <w:vAlign w:val="bottom"/>
            <w:tcBorders>
              <w:top w:val="single" w:sz="8" w:color="auto"/>
            </w:tcBorders>
            <w:shd w:val="clear" w:color="auto" w:fill="CCECFF"/>
          </w:tcPr>
          <w:p>
            <w:pPr>
              <w:spacing w:after="0"/>
              <w:rPr>
                <w:sz w:val="18"/>
                <w:szCs w:val="18"/>
                <w:color w:val="auto"/>
              </w:rPr>
            </w:pPr>
          </w:p>
        </w:tc>
        <w:tc>
          <w:tcPr>
            <w:tcW w:w="1940" w:type="dxa"/>
            <w:vAlign w:val="bottom"/>
            <w:tcBorders>
              <w:top w:val="single" w:sz="8" w:color="auto"/>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discovery</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2,875</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1,724</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1,151</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3733</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2,161</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720 %</w:t>
            </w: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VBR</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3,572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(1,771 )</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4334</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505</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2158</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3,414</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(2,428 )</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0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external expenses</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9,603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7,363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7,501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1,546</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1,370</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176</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0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18,130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18,474</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3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5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-1626235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-1078230</wp:posOffset>
            </wp:positionV>
            <wp:extent cx="713232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3079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0797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99" w:right="239" w:bottom="1440" w:gutter="0" w:footer="0" w:header="0"/>
        </w:sectPr>
      </w:pPr>
    </w:p>
    <w:bookmarkStart w:id="24" w:name="page25"/>
    <w:bookmarkEnd w:id="24"/>
    <w:p>
      <w:pPr>
        <w:jc w:val="both"/>
        <w:ind w:right="100"/>
        <w:spacing w:after="0" w:line="247" w:lineRule="auto"/>
        <w:rPr>
          <w:sz w:val="20"/>
          <w:szCs w:val="20"/>
          <w:color w:val="auto"/>
        </w:rPr>
      </w:pPr>
      <w:r>
        <w:rPr>
          <w:rFonts w:ascii="Times New Roman" w:cs="Times New Roman" w:eastAsia="Times New Roman" w:hAnsi="Times New Roman"/>
          <w:sz w:val="18"/>
          <w:szCs w:val="18"/>
          <w:color w:val="auto"/>
        </w:rPr>
        <w:t xml:space="preserve">Research and development expenses were $18.1 million for the three months ended September 30, 2022 compared to $18.5 million for the same period in 2021. Research and development expenses decreased primarily due to the discontinued development of 2158 and VBR. This was materially offset by increases in external expenses from the advancement of 3733, for which a Phase 1b trial is ongoing, our research discovery programs, which expand our portfolio beyond core inhibitors and 4334, for which a Phase 1a trial was initiated in October 2022. </w:t>
      </w:r>
      <w:r>
        <w:rPr>
          <w:rFonts w:ascii="Times New Roman" w:cs="Times New Roman" w:eastAsia="Times New Roman" w:hAnsi="Times New Roman"/>
          <w:sz w:val="18"/>
          <w:szCs w:val="18"/>
          <w:color w:val="242424"/>
        </w:rPr>
        <w:t>The impact to e</w:t>
      </w:r>
      <w:r>
        <w:rPr>
          <w:rFonts w:ascii="Times New Roman" w:cs="Times New Roman" w:eastAsia="Times New Roman" w:hAnsi="Times New Roman"/>
          <w:sz w:val="18"/>
          <w:szCs w:val="18"/>
          <w:color w:val="auto"/>
        </w:rPr>
        <w:t xml:space="preserve">mployee and contractor-related expenses </w:t>
      </w:r>
      <w:r>
        <w:rPr>
          <w:rFonts w:ascii="Times New Roman" w:cs="Times New Roman" w:eastAsia="Times New Roman" w:hAnsi="Times New Roman"/>
          <w:sz w:val="18"/>
          <w:szCs w:val="18"/>
          <w:color w:val="242424"/>
        </w:rPr>
        <w:t>associated with the termination of employees as part of the reorganization announced in July 2022 was offset by a reduction in salaries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benefits due to employee turnover.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general and administrative expenses (in thousands, except for 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5,271</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6,655</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(1,384 )</w:t>
            </w:r>
          </w:p>
        </w:tc>
        <w:tc>
          <w:tcPr>
            <w:tcW w:w="2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0" w:lineRule="exact"/>
        <w:rPr>
          <w:sz w:val="20"/>
          <w:szCs w:val="20"/>
          <w:color w:val="auto"/>
        </w:rPr>
      </w:pPr>
    </w:p>
    <w:p>
      <w:pPr>
        <w:jc w:val="both"/>
        <w:ind w:right="100"/>
        <w:spacing w:after="0" w:line="295" w:lineRule="auto"/>
        <w:rPr>
          <w:sz w:val="20"/>
          <w:szCs w:val="20"/>
          <w:color w:val="auto"/>
        </w:rPr>
      </w:pPr>
      <w:r>
        <w:rPr>
          <w:rFonts w:ascii="Times New Roman" w:cs="Times New Roman" w:eastAsia="Times New Roman" w:hAnsi="Times New Roman"/>
          <w:sz w:val="17"/>
          <w:szCs w:val="17"/>
          <w:color w:val="auto"/>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and directors.</w:t>
      </w:r>
    </w:p>
    <w:p>
      <w:pPr>
        <w:spacing w:after="0" w:line="11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$5.3 million for the three months ended September 30, 2022 compared to $6.7 million for the same period in 2021. The decrease in general and administrative expenses was primarily due to a $1.2 million decrease in professional fees due to decreases in legal expenses and the amortization of incremental contract costs under the BeiGene Agreement upon discontinuing development of 2158 in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collaboration revenue (in thousands, except for percentages):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0" w:type="dxa"/>
            <w:vAlign w:val="bottom"/>
          </w:tcPr>
          <w:p>
            <w:pPr>
              <w:spacing w:after="0"/>
              <w:rPr>
                <w:sz w:val="14"/>
                <w:szCs w:val="14"/>
                <w:color w:val="auto"/>
              </w:rPr>
            </w:pPr>
          </w:p>
        </w:tc>
        <w:tc>
          <w:tcPr>
            <w:tcW w:w="16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6,254</w:t>
            </w:r>
          </w:p>
        </w:tc>
        <w:tc>
          <w:tcPr>
            <w:tcW w:w="26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(6,254 )</w:t>
            </w:r>
          </w:p>
        </w:tc>
        <w:tc>
          <w:tcPr>
            <w:tcW w:w="2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6"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There was no collaboration revenue for the nine months ended September 30, 2022. Collaboration revenue for the nine months ended September 30, 2021 consists of the recognition of deferred revenue allocated to 2158 under the BeiGene Agreement upon discontinuing development of 2158.</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3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3240" w:type="dxa"/>
            <w:vAlign w:val="bottom"/>
            <w:tcBorders>
              <w:bottom w:val="single" w:sz="8" w:color="auto"/>
            </w:tcBorders>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3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09"/>
        </w:trPr>
        <w:tc>
          <w:tcPr>
            <w:tcW w:w="3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800" w:type="dxa"/>
            <w:vAlign w:val="bottom"/>
            <w:tcBorders>
              <w:top w:val="single" w:sz="8" w:color="auto"/>
            </w:tcBorders>
            <w:shd w:val="clear" w:color="auto" w:fill="CCECFF"/>
          </w:tcPr>
          <w:p>
            <w:pPr>
              <w:spacing w:after="0"/>
              <w:rPr>
                <w:sz w:val="18"/>
                <w:szCs w:val="18"/>
                <w:color w:val="auto"/>
              </w:rPr>
            </w:pPr>
          </w:p>
        </w:tc>
        <w:tc>
          <w:tcPr>
            <w:tcW w:w="640" w:type="dxa"/>
            <w:vAlign w:val="bottom"/>
            <w:tcBorders>
              <w:top w:val="single" w:sz="8" w:color="auto"/>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320" w:type="dxa"/>
            <w:vAlign w:val="bottom"/>
            <w:tcBorders>
              <w:top w:val="single" w:sz="8" w:color="auto"/>
            </w:tcBorders>
            <w:shd w:val="clear" w:color="auto" w:fill="CCECFF"/>
          </w:tcPr>
          <w:p>
            <w:pPr>
              <w:spacing w:after="0"/>
              <w:rPr>
                <w:sz w:val="18"/>
                <w:szCs w:val="18"/>
                <w:color w:val="auto"/>
              </w:rPr>
            </w:pPr>
          </w:p>
        </w:tc>
        <w:tc>
          <w:tcPr>
            <w:tcW w:w="1200" w:type="dxa"/>
            <w:vAlign w:val="bottom"/>
            <w:tcBorders>
              <w:top w:val="single" w:sz="8" w:color="auto"/>
            </w:tcBorders>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20" w:type="dxa"/>
            <w:vAlign w:val="bottom"/>
            <w:tcBorders>
              <w:top w:val="single" w:sz="8" w:color="auto"/>
            </w:tcBorders>
            <w:shd w:val="clear" w:color="auto" w:fill="CCECFF"/>
          </w:tcPr>
          <w:p>
            <w:pPr>
              <w:spacing w:after="0"/>
              <w:rPr>
                <w:sz w:val="18"/>
                <w:szCs w:val="18"/>
                <w:color w:val="auto"/>
              </w:rPr>
            </w:pPr>
          </w:p>
        </w:tc>
        <w:tc>
          <w:tcPr>
            <w:tcW w:w="1940" w:type="dxa"/>
            <w:vAlign w:val="bottom"/>
            <w:tcBorders>
              <w:top w:val="single" w:sz="8" w:color="auto"/>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0" w:type="dxa"/>
            <w:vAlign w:val="bottom"/>
            <w:tcBorders>
              <w:top w:val="single" w:sz="8" w:color="auto"/>
            </w:tcBorders>
            <w:shd w:val="clear" w:color="auto" w:fill="CCEC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discovery</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7,366</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4,423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2,943</w:t>
            </w: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3733</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5,915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5,011</w:t>
            </w: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554 %</w:t>
            </w: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VBR</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13,282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4334</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4,498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1,911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2,587</w:t>
            </w: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2158</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7,971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Microbiome</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488</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external expenses</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25,037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28,979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8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23,561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18,903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4,658</w:t>
            </w: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4,529</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5,895</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0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53,127</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53,777</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3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-1275080</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-1001395</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419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were $53.1 million for the nine months ended September 30, 2022 compared to $53.8 million for the same period in 2021. The decrease in external expenses was due to our discontinuation of VBR, 2158 and the Microbiome programs. This was partially offset by external expenses generated from the advancement of 3733, for which a Phase 1b trial is ongoing, 4334, for which a Phase 1a trial was initiated in October 2022 and our research discovery programs, which expand our portfolio beyond core inhibitors. The decrease in facility and other expenses of $1.4 million was primarily attributable to asset impairment and other charges incurred in connection with the wind-down of the Microbiome program announced in January 2021. The increase in employee and contractor-related expenses of $4.7 million was primarily due to the reversal of $4.1 million of previously recognized stock-based compensation expense related to forfeited awards of terminated employees during the nine months ended September 30, 2021, of which $2.7 million resulted from the wind-down of our Microbiome program, as well as increases in salaries and benefits primarily due to accrued severance benefits to an executive officer and other employees associated with the reorganization announced in July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general and administrative expenses (in thousands, except for percentages):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0" w:type="dxa"/>
            <w:vAlign w:val="bottom"/>
          </w:tcPr>
          <w:p>
            <w:pPr>
              <w:spacing w:after="0"/>
              <w:rPr>
                <w:sz w:val="14"/>
                <w:szCs w:val="14"/>
                <w:color w:val="auto"/>
              </w:rPr>
            </w:pPr>
          </w:p>
        </w:tc>
        <w:tc>
          <w:tcPr>
            <w:tcW w:w="16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2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18,009</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22,276</w:t>
            </w:r>
          </w:p>
        </w:tc>
        <w:tc>
          <w:tcPr>
            <w:tcW w:w="24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(4,267 )</w:t>
            </w:r>
          </w:p>
        </w:tc>
        <w:tc>
          <w:tcPr>
            <w:tcW w:w="2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0"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8"/>
          <w:szCs w:val="18"/>
          <w:color w:val="auto"/>
        </w:rPr>
        <w:t xml:space="preserve">General and administrative expenses were $18.0 million for the nine months ended September 30, 2022 compared to $22.3 million for the same period in 2021. The decrease in general and administrative expenses was primarily due to a $1.7 million decrease in professional fees attributable to reductions in legal and outside consulting-related expenses and the amortization of incremental contract costs under the BeiGene Agreement upon discontinuing development of 2158 in 2021. We also experienced decreases of $1.0 million in stock-based compensation expense in 2022 primarily due to a decrease in the grant date fair value of recent option grants, $0.7 million in facility-related expenses primarily due to termination of lease agreements related to the wind-down of the Microbiome program in 2021 and $0.5 million in recruitment expenses due to hiring of fewer employees during the nine months ended September 30, 2022 compared to the same period in 2021. </w:t>
      </w:r>
      <w:r>
        <w:rPr>
          <w:rFonts w:ascii="Times New Roman" w:cs="Times New Roman" w:eastAsia="Times New Roman" w:hAnsi="Times New Roman"/>
          <w:sz w:val="18"/>
          <w:szCs w:val="18"/>
          <w:color w:val="242424"/>
        </w:rPr>
        <w:t>The impact to salaries and benefits associated with the termination of employees as part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reorganization announced in July 2022 was offset by a reduction in salaries and benefits due to employee turnover.</w:t>
      </w:r>
    </w:p>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September 30, 2022 principally through equity financings, raising an aggregate of $604.6 million in net proceeds, and strategic collaborations, raising an aggregate of $90.0 million through upfront payments.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2022 and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provided by:</w:t>
            </w:r>
          </w:p>
        </w:tc>
        <w:tc>
          <w:tcPr>
            <w:tcW w:w="5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80" w:type="dxa"/>
            <w:vAlign w:val="bottom"/>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0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560" w:type="dxa"/>
            <w:vAlign w:val="bottom"/>
            <w:shd w:val="clear" w:color="auto" w:fill="CCEC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(65,209 )</w:t>
            </w:r>
          </w:p>
        </w:tc>
        <w:tc>
          <w:tcPr>
            <w:tcW w:w="460" w:type="dxa"/>
            <w:vAlign w:val="bottom"/>
            <w:shd w:val="clear" w:color="auto" w:fill="CCECFF"/>
          </w:tcPr>
          <w:p>
            <w:pPr>
              <w:spacing w:after="0"/>
              <w:rPr>
                <w:sz w:val="18"/>
                <w:szCs w:val="18"/>
                <w:color w:val="auto"/>
              </w:rPr>
            </w:pPr>
          </w:p>
        </w:tc>
        <w:tc>
          <w:tcPr>
            <w:tcW w:w="920" w:type="dxa"/>
            <w:vAlign w:val="bottom"/>
            <w:shd w:val="clear" w:color="auto" w:fill="CCEC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(74,034 )</w:t>
            </w: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560" w:type="dxa"/>
            <w:vAlign w:val="bottom"/>
          </w:tcPr>
          <w:p>
            <w:pPr>
              <w:spacing w:after="0"/>
              <w:rPr>
                <w:sz w:val="18"/>
                <w:szCs w:val="18"/>
                <w:color w:val="auto"/>
              </w:rPr>
            </w:pPr>
          </w:p>
        </w:tc>
        <w:tc>
          <w:tcPr>
            <w:tcW w:w="1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74,078</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34,999</w:t>
            </w:r>
          </w:p>
        </w:tc>
        <w:tc>
          <w:tcPr>
            <w:tcW w:w="0" w:type="dxa"/>
            <w:vAlign w:val="bottom"/>
          </w:tcPr>
          <w:p>
            <w:pPr>
              <w:spacing w:after="0"/>
              <w:rPr>
                <w:sz w:val="1"/>
                <w:szCs w:val="1"/>
                <w:color w:val="auto"/>
              </w:rPr>
            </w:pPr>
          </w:p>
        </w:tc>
      </w:tr>
      <w:tr>
        <w:trPr>
          <w:trHeight w:val="216"/>
        </w:trPr>
        <w:tc>
          <w:tcPr>
            <w:tcW w:w="5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560" w:type="dxa"/>
            <w:vAlign w:val="bottom"/>
            <w:shd w:val="clear" w:color="auto" w:fill="CCECFF"/>
          </w:tcPr>
          <w:p>
            <w:pPr>
              <w:spacing w:after="0"/>
              <w:rPr>
                <w:sz w:val="18"/>
                <w:szCs w:val="18"/>
                <w:color w:val="auto"/>
              </w:rPr>
            </w:pPr>
          </w:p>
        </w:tc>
        <w:tc>
          <w:tcPr>
            <w:tcW w:w="1880" w:type="dxa"/>
            <w:vAlign w:val="bottom"/>
            <w:shd w:val="clear" w:color="auto" w:fill="CCECFF"/>
          </w:tcPr>
          <w:p>
            <w:pPr>
              <w:jc w:val="right"/>
              <w:ind w:right="37"/>
              <w:spacing w:after="0"/>
              <w:rPr>
                <w:sz w:val="20"/>
                <w:szCs w:val="20"/>
                <w:color w:val="auto"/>
              </w:rPr>
            </w:pPr>
            <w:r>
              <w:rPr>
                <w:rFonts w:ascii="Times New Roman" w:cs="Times New Roman" w:eastAsia="Times New Roman" w:hAnsi="Times New Roman"/>
                <w:sz w:val="18"/>
                <w:szCs w:val="18"/>
                <w:color w:val="auto"/>
              </w:rPr>
              <w:t>177</w:t>
            </w:r>
          </w:p>
        </w:tc>
        <w:tc>
          <w:tcPr>
            <w:tcW w:w="4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540" w:type="dxa"/>
            <w:vAlign w:val="bottom"/>
            <w:shd w:val="clear" w:color="auto" w:fill="CCECFF"/>
          </w:tcPr>
          <w:p>
            <w:pPr>
              <w:jc w:val="right"/>
              <w:ind w:right="35"/>
              <w:spacing w:after="0"/>
              <w:rPr>
                <w:sz w:val="20"/>
                <w:szCs w:val="20"/>
                <w:color w:val="auto"/>
              </w:rPr>
            </w:pPr>
            <w:r>
              <w:rPr>
                <w:rFonts w:ascii="Times New Roman" w:cs="Times New Roman" w:eastAsia="Times New Roman" w:hAnsi="Times New Roman"/>
                <w:sz w:val="18"/>
                <w:szCs w:val="18"/>
                <w:color w:val="auto"/>
              </w:rPr>
              <w:t>50,351</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was $65.2 million for the nine months ended September 30, 2022. This was primarily due to our $70.7 million net loss, adjusted for $4.6 million recognized for stock-based compensation expense.</w:t>
      </w:r>
    </w:p>
    <w:p>
      <w:pPr>
        <w:spacing w:after="0" w:line="12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Net cash used in operating activities was $74.0 million for the nine months ended September 30, 2021. This was primarily due to our $69.6 million net loss, adjusted for $3.3 million recognized for stock-based compensation expense. We also experienced decreases in operating liabilities of $6.5 million in other accrued expenses due to payment of our 2020 annual bonuses and accrued severances associated with the wind-down of our Microbiome program and $6.3</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million from the recognition of deferred revenue allocated to 2158 under the BeiGene Agreement upon termination of the program. These were partially offset by a $1.6 million loss on disposal of property and equipment associated with the wind-down of our Microbiome program during the nine months</w:t>
      </w:r>
    </w:p>
    <w:p>
      <w:pPr>
        <w:spacing w:after="0"/>
        <w:rPr>
          <w:sz w:val="20"/>
          <w:szCs w:val="20"/>
          <w:color w:val="auto"/>
        </w:rPr>
      </w:pPr>
      <w:r>
        <w:rPr>
          <w:rFonts w:ascii="Times New Roman" w:cs="Times New Roman" w:eastAsia="Times New Roman" w:hAnsi="Times New Roman"/>
          <w:sz w:val="18"/>
          <w:szCs w:val="18"/>
          <w:color w:val="auto"/>
        </w:rPr>
        <w:t>ended September 30,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from Investing Activities</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2022 was $74.1 million due to proceeds from sales and maturities of marketable securities, net of purchases.</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2021 was $35.0 million. This was due to proceeds of $37.2 million from sales and maturities of marketable securities, net of purchases, offset by our purchase of leased equipment for $3.1 million that we then sold for $0.9 million in connection with the wind-down of the Microbiome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from Financing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were not material for the nine months ended September 30, 2022.</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2021 was $50.4 million, primarily due to proceeds of $50.2 million resulting from the sale of 10,399,548 shares of our common stock under the 2020 ATM.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monitor our cash needs and the status of the capital markets on a continuous basis. From time to time, we opportunistically raise capital and have done so numerous times since our initial public offering by issuing equity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7" w:name="page28"/>
    <w:bookmarkEnd w:id="27"/>
    <w:p>
      <w:pPr>
        <w:jc w:val="both"/>
        <w:spacing w:after="0" w:line="250" w:lineRule="auto"/>
        <w:rPr>
          <w:sz w:val="20"/>
          <w:szCs w:val="20"/>
          <w:color w:val="auto"/>
        </w:rPr>
      </w:pPr>
      <w:r>
        <w:rPr>
          <w:rFonts w:ascii="Times New Roman" w:cs="Times New Roman" w:eastAsia="Times New Roman" w:hAnsi="Times New Roman"/>
          <w:sz w:val="18"/>
          <w:szCs w:val="18"/>
          <w:color w:val="auto"/>
        </w:rPr>
        <w:t>securities, most recently in October 2022 through the 2020 ATM. We expect to continue to raise capital when and as needed and at the time and in the manner most advantageous to us.</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will enable us to fund our operating expenses and capital expenditure requirements for at least the next twelve months. There were no material changes in our commitments under the contractual obligations disclosed in our 2021 Annual Report. Since our inception, we have not engaged in any off-balance sheet arrangements as described in Item 303 of Regulation 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84"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strategic plan, including reducing the size of our organization to align with the plan;</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further acquire or in-license other product candidates and technologies;</w:t>
      </w:r>
    </w:p>
    <w:p>
      <w:pPr>
        <w:spacing w:after="0" w:line="170"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to contract with third parties to manufacture, adequate supplies of our product candidates for our clinical studies and any eventual commercialization;</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principal executive officer and principal financial officer concluded that our disclosure controls and procedures as of the end of the period covered by this report were effective at the reasonable assurance level.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the quarter ended September 30, 2022 that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not a party to any material legal proceedings. In the future, we may from time to time become involved in litigation relating to claims arising from our ordinary course of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may materially and adversely affect our business.</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continued spread of COVID-19, including through infection by variants of the SARS-CoV-2 virus, could continue to adversely impact our research and development through delay, modification or suspension of our clinical and/or nonclinical studies. Other clinical-stage biotechnology companies, like us, have had their clinical and nonclinical studies affected by the COVID-19 pandemic.</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COVID-19 pandemic has and may continue to: (1) impact patient enrollment, retention or compliance with clinical study protocols; (2) require modifications to, or deviations from, study protocols and procedures, such as the use of telehealth and home health visits instead of on-site monitoring and treatment, which could increase the cost of, and time for, conducting clinical studies; (3) disrupt or suspend the business operations of our third-party CROs, manufacturers of our drug candidates and the clinical sites conducting our clinical studies; (4) delay regulatory meetings and filings with regulatory agencies in the United States and other countries; and (5) disrupt supply chains and cause delays of shipments of critical reagents, PPE and disinfectants, each of which are necessary for our laboratories and our CROs’ laboratories to maintain normal workflows. Even if we are able to collect timely clinical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data while the pandemic is ongoing, COVID-19 may negatively affect the quality, completeness, integrity, interpretability and cost of obtaining such clinical study data.</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full extent of the pandemic’s impact on our business will depend on future developments, which are highly uncertain and cannot be predicted with confidence, such as the duration and severity of the pandemic and the effectiveness of actions for containment, treatment and prevention of COVID-19. However, any COVID-19-related business interruptions or delays could materially and adversely affect our ability to conduct our research and development activities in the manner and on the timelines presently planned as well as negatively affect the accuracy of our estimates regarding capital requirements, needs for additional financing and our ability to produce accurate and timely financial statements. Any of these disruptions could have a material adverse impact on our business, results of operations, financial condition and share price.</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a result of the COVID-19 pandemic, governments around the world implemented significant measures to control the spread of the virus, including quarantines, travel restrictions, stay-at-home orders and business shutdowns. While governments have relaxed these measures as case numbers decreased, periodic surges in COVID-19 cases have prompted, and may in the future prompt, many governments to reimplement these restrictions, including in the United States, Europe, India and China. We continue to take precautionary measures intended to minimize our employees’ potential exposure to the virus, including requiring employees to be vaccinated against COVID-19 and adopting a hybrid working model allowing our employees flexibility regarding when and how frequently to return to the office. Many of our employees continue to work primarily remotely, which may disrupt our operations, increase the risk of a cybersecurity incident or otherwise negatively affect our business.</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to the risks related to the COVID-19 pandemic discussed above, the uncertainty surrounding, and risks created by, the pandemic may have the effect of heightening many of the other risks discussed in this section impacting our operations.</w:t>
      </w:r>
    </w:p>
    <w:p>
      <w:pPr>
        <w:spacing w:after="0" w:line="1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achieve the expected financial and operational benefits of our recent reorganization plan, our business and financial position could be materially and adversely affected.</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July 2022, we implemented a corporate reorganization plan designed to reduce our operating expenses, preserve cash and align our resources to support the ongoing clinical and preclinical development of 3733, 4334, our HBV/HDV entry inhibitor, our IFNAR agonist, our long-acting HSV-2 helicase inhibitor for the treatment of recurrent genital herpes and our pan-herpes NNPI for transplant-associated herpesvirus infections. As part of this reorganization plan, we discontinued clinical development of our first-generation core inhibitor, VBR, and implemented a staff reduction of approximately 30%, primarily consisting of our clinical development organization.</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successful implementation of the reorganization activities pursuant to the reorganization plan is subject to a number of assumptions, risks and uncertainties. We may incur additional costs not currently contemplated due to events that may occur as a result of, or that are associated with, the reorganization plan. These reorganization activities may yield unintended consequences, such as the loss of institutional knowledge and expertise, employee attrition beyond the planned reduction in force and a reduction in morale among our remaining employees. The streamlined organization may make it more challenging to achieve our discovery and development goals in the current timelines and may limit our ability to pursue new opportunities and initiatives. As a result, we may not achieve the anticipated benefits of the reorganization, which may have an adverse effect on our results of operations or financial condition.</w:t>
      </w:r>
    </w:p>
    <w:p>
      <w:pPr>
        <w:spacing w:after="0" w:line="15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or debt financings and payments we may receive from out-licenses, collaborations or other strategic arrangements. However, there is no assurance that we will be successful in raising any necessary additional capital on terms that are acceptable to us, or at all. If we are unable to develop and commercialize any product candidates and generate sufficient revenue or raise capital, we could be forced to delay, scale back or discontinue product development and clinical studies, sacrifice attractive business opportunities, cease operations entirely and sell,</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or otherwise transfer, all or substantially all of our remaining assets, which would likely have a material adverse impact on our business, results of operations, financial condition and share price.</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rate of completion of clinical studies might be delayed by many factors, including, for example:</w:t>
      </w:r>
    </w:p>
    <w:p>
      <w:pPr>
        <w:spacing w:after="0" w:line="171"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regulatory authorities on study design;</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study sites;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or the emergence of unforeseen safety issues;</w:t>
      </w:r>
    </w:p>
    <w:p>
      <w:pPr>
        <w:spacing w:after="0" w:line="157"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of qualified materials under current good manufacturing practice (cGMP) for use in clinical studies due to manufacturing challenges, delays or interruptions in the supply chain;</w:t>
      </w:r>
    </w:p>
    <w:p>
      <w:pPr>
        <w:spacing w:after="0" w:line="108" w:lineRule="exact"/>
        <w:rPr>
          <w:rFonts w:ascii="Times New Roman" w:cs="Times New Roman" w:eastAsia="Times New Roman" w:hAnsi="Times New Roman"/>
          <w:sz w:val="18"/>
          <w:szCs w:val="18"/>
          <w:color w:val="auto"/>
        </w:rPr>
      </w:pPr>
    </w:p>
    <w:p>
      <w:pPr>
        <w:jc w:val="both"/>
        <w:ind w:left="760" w:hanging="378"/>
        <w:spacing w:after="0" w:line="23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30"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patients completing participation in a study or return for post-treatment follow-up for any reason, including, product side effects or disease progression;</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clinical study protocols;</w:t>
      </w:r>
    </w:p>
    <w:p>
      <w:pPr>
        <w:spacing w:after="0" w:line="157"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suspension, or termination of clinical studies by the institutional review board or ethics committee responsible for overseeing the study at a particular study site; and</w:t>
      </w:r>
    </w:p>
    <w:p>
      <w:pPr>
        <w:spacing w:after="0" w:line="108"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CROs to conduct some of our nonclinical and clinical studies due to our lack of suitable facilities and resources.</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do not have sufficient facilities or resources to conduct all of our anticipated nonclinical and clinical studies internally. As a result, we contract with CROs to conduct a significant portion of the nonclinical and clinical studies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2" w:name="page33"/>
    <w:bookmarkEnd w:id="32"/>
    <w:p>
      <w:pPr>
        <w:jc w:val="both"/>
        <w:spacing w:after="0" w:line="246" w:lineRule="auto"/>
        <w:rPr>
          <w:sz w:val="20"/>
          <w:szCs w:val="20"/>
          <w:color w:val="auto"/>
        </w:rPr>
      </w:pPr>
      <w:r>
        <w:rPr>
          <w:rFonts w:ascii="Times New Roman" w:cs="Times New Roman" w:eastAsia="Times New Roman" w:hAnsi="Times New Roman"/>
          <w:sz w:val="18"/>
          <w:szCs w:val="18"/>
          <w:color w:val="auto"/>
        </w:rPr>
        <w:t>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Furthermore,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have international operations, including in China, and conduct clinical studies and discovery research activities outside of the United States, including in Eastern Europe. A number of risks associated with international operations could materially and adversely affect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be subject to a number of risks related with our international operations, many of which may be beyond our control. These risks include:</w:t>
      </w:r>
    </w:p>
    <w:p>
      <w:pPr>
        <w:spacing w:after="0" w:line="171" w:lineRule="exact"/>
        <w:rPr>
          <w:sz w:val="20"/>
          <w:szCs w:val="20"/>
          <w:color w:val="auto"/>
        </w:rPr>
      </w:pPr>
    </w:p>
    <w:p>
      <w:pPr>
        <w:ind w:left="760" w:right="20" w:hanging="378"/>
        <w:spacing w:after="0" w:line="237"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such as Russia’s invasion of Ukraine and the resulting war, as well as tariffs, other wars, acts of terrorism, natural disasters or outbreaks of disease;</w:t>
      </w:r>
    </w:p>
    <w:p>
      <w:pPr>
        <w:spacing w:after="0" w:line="13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43"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 for which our product candidates are being developed;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4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United States Foreign Corrupt Practices Act (the FCPA) and other anti-corruption and anti-bribery laws;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 and</w:t>
      </w:r>
    </w:p>
    <w:p>
      <w:pPr>
        <w:spacing w:after="0" w:line="157" w:lineRule="exact"/>
        <w:rPr>
          <w:rFonts w:ascii="Times New Roman" w:cs="Times New Roman" w:eastAsia="Times New Roman" w:hAnsi="Times New Roman"/>
          <w:sz w:val="18"/>
          <w:szCs w:val="18"/>
          <w:color w:val="auto"/>
        </w:rPr>
      </w:pPr>
    </w:p>
    <w:p>
      <w:pPr>
        <w:ind w:left="760" w:hanging="378"/>
        <w:spacing w:after="0" w:line="237"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compliance with foreign currency exchange rules, which could result in increased operating expenses and reduced revenues, and other obligations incident to doing business in another country.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or preliminary data may not accurately reflect the final results of a particular study.</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3" w:name="page34"/>
    <w:bookmarkEnd w:id="33"/>
    <w:p>
      <w:pPr>
        <w:jc w:val="both"/>
        <w:spacing w:after="0" w:line="250" w:lineRule="auto"/>
        <w:rPr>
          <w:sz w:val="20"/>
          <w:szCs w:val="20"/>
          <w:color w:val="auto"/>
        </w:rPr>
      </w:pPr>
      <w:r>
        <w:rPr>
          <w:rFonts w:ascii="Times New Roman" w:cs="Times New Roman" w:eastAsia="Times New Roman" w:hAnsi="Times New Roman"/>
          <w:sz w:val="18"/>
          <w:szCs w:val="18"/>
          <w:color w:val="auto"/>
        </w:rPr>
        <w:t>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to top-line or preliminary results, the information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rely on third-party manufacturers to supply the quantities of VBR, 3733 and 4334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following risks with respect to the manufacture of our product candidates:</w:t>
      </w:r>
    </w:p>
    <w:p>
      <w:pPr>
        <w:spacing w:after="0" w:line="184" w:lineRule="exact"/>
        <w:rPr>
          <w:sz w:val="20"/>
          <w:szCs w:val="20"/>
          <w:color w:val="auto"/>
        </w:rPr>
      </w:pPr>
    </w:p>
    <w:p>
      <w:pPr>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121"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be unable to formulate and manufacture our product candidates in the volume and quality required to meet our clinical and, if approved, commercial needs in a timely manner.</w:t>
      </w:r>
    </w:p>
    <w:p>
      <w:pPr>
        <w:spacing w:after="0" w:line="108"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not perform as agreed or might not remain in the contract manufacturing business for the time required to supply our products.</w:t>
      </w:r>
    </w:p>
    <w:p>
      <w:pPr>
        <w:spacing w:after="0" w:line="9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any third-party manufacturers with whom we contract could be foreign, which increases the risk of shipping delays and adds the risk of import restrictions.</w:t>
      </w:r>
    </w:p>
    <w:p>
      <w:pPr>
        <w:spacing w:after="0" w:line="12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4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4" w:name="page35"/>
    <w:bookmarkEnd w:id="34"/>
    <w:p>
      <w:pPr>
        <w:ind w:left="76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share our trade secrets and know-how with third parties, increasing risk of misappropriation or disclosure of our intellectual property by or to third parties.</w:t>
      </w:r>
    </w:p>
    <w:p>
      <w:pPr>
        <w:spacing w:after="0" w:line="135"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and cannot recruit and retain similarly qualified replacements, our business may materially suffer.</w:t>
      </w:r>
    </w:p>
    <w:p>
      <w:pPr>
        <w:spacing w:after="0" w:line="16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 On October 5, 2022, we announced that John G. McHutchison, A.O., M.D. will retire from his role as our Chief Executive Officer, effective December 31, 2022. Jason A. Okazaki, our President and Chief Operating Officer, was unanimously elected by the Board to serve as President and Chief Executive Officer effective January 1, 2023. Such leadership transitions can be inherently difficult to manage, and an inadequate transition may cause disruption to our business and may make it more difficult to hire and retain key management personnel.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an in-license relationship for VBR.</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license agreement with IURTC imposes diligence requirements on us and requires us to make milestone payments based upon the successful accomplishment of clinical and regulatory milestones related to VBR, royalty payments if VBR is approved and diligence maintenance fees. These payments will make it less profitable for us to develop VBR than if we owned the technology outright. In addition, if we breach any of our obligations under our license agreement, IURTC may have a right to terminate the license, in which event we could lose our rights to VBR.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 partners might delay, prevent or undermine the success of our product candidates.</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that has not been independently verified and could prove to be false, misleading, or incomplete.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materially and adversely affect our business, results of operations and financial condition.</w:t>
      </w:r>
    </w:p>
    <w:p>
      <w:pPr>
        <w:spacing w:after="0" w:line="13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General Data Protection Regulation (GDPR) in the European Union (EU). We would also be exposed to a risk of loss or litigation and potential liability, which could materially adversely affect our business, results of operations and financial condition.</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might render our product candidates or technologies obsolete or non-competitive.</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In addition, the clinical and commercial landscape for HBV and HDV is rapidly changing; we expect new data from commercial and clinical-stage products to continue to emerge. We compete with organizations, some with significantly more resources, who are developing competitive product candidates. If our competitors develop effective treatments for HBV, HDV or any other indication or field we might pursue, and successfully commercialize those treatments, our business and prospects could be materially harmed.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6" w:name="page37"/>
    <w:bookmarkEnd w:id="36"/>
    <w:p>
      <w:pPr>
        <w:jc w:val="both"/>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1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Negative data from clinical studies using a competitor’s product candidates with the same or similar mechanisms of action as ours could adversely impact the perception of the therapeutic use of our product candidates and our ability to enroll patients in clinical studies.</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clinical and commercial success of our potential products will depend in part on the public and clinical communities’ acceptance of core inhibitors, a novel class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the same mechanisms of action as our product candidates,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and Legal Environment</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7" w:name="page38"/>
    <w:bookmarkEnd w:id="37"/>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2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w:t>
      </w:r>
    </w:p>
    <w:p>
      <w:pPr>
        <w:jc w:val="both"/>
        <w:spacing w:after="0" w:line="233" w:lineRule="auto"/>
        <w:rPr>
          <w:sz w:val="20"/>
          <w:szCs w:val="20"/>
          <w:color w:val="auto"/>
        </w:rPr>
      </w:pPr>
      <w:r>
        <w:rPr>
          <w:rFonts w:ascii="Times New Roman" w:cs="Times New Roman" w:eastAsia="Times New Roman" w:hAnsi="Times New Roman"/>
          <w:sz w:val="18"/>
          <w:szCs w:val="18"/>
          <w:color w:val="auto"/>
        </w:rPr>
        <w:t>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3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Regulators globally are imposing greater monetary fines for privacy violations. The GDPR applies to any company established in the EU as well as to those outside the EU if they collect and use personal data in connection with the offering goods or services to individuals in the EU or the monitoring of their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w:t>
      </w:r>
    </w:p>
    <w:p>
      <w:pPr>
        <w:jc w:val="both"/>
        <w:spacing w:after="0" w:line="218" w:lineRule="auto"/>
        <w:rPr>
          <w:sz w:val="20"/>
          <w:szCs w:val="20"/>
          <w:color w:val="auto"/>
        </w:rPr>
      </w:pPr>
      <w:r>
        <w:rPr>
          <w:rFonts w:ascii="Times New Roman" w:cs="Times New Roman" w:eastAsia="Times New Roman" w:hAnsi="Times New Roman"/>
          <w:sz w:val="18"/>
          <w:szCs w:val="18"/>
          <w:color w:val="auto"/>
        </w:rPr>
        <w:t>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w:t>
      </w:r>
    </w:p>
    <w:p>
      <w:pPr>
        <w:jc w:val="both"/>
        <w:spacing w:after="0" w:line="233" w:lineRule="auto"/>
        <w:rPr>
          <w:sz w:val="20"/>
          <w:szCs w:val="20"/>
          <w:color w:val="auto"/>
        </w:rPr>
      </w:pPr>
      <w:r>
        <w:rPr>
          <w:rFonts w:ascii="Times New Roman" w:cs="Times New Roman" w:eastAsia="Times New Roman" w:hAnsi="Times New Roman"/>
          <w:sz w:val="18"/>
          <w:szCs w:val="18"/>
          <w:color w:val="auto"/>
        </w:rPr>
        <w:t>information, could greatly increase our cost of developing our products or even prevent us from offering certain products in jurisdictions that we may operate in.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California Consumer Privacy Act (CCPA) also created new individual privacy rights for California consumers (as defined in the law) and places increased privacy and security obligations on entities handling personal data 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8" w:name="page39"/>
    <w:bookmarkEnd w:id="38"/>
    <w:p>
      <w:pPr>
        <w:jc w:val="both"/>
        <w:spacing w:after="0" w:line="246" w:lineRule="auto"/>
        <w:rPr>
          <w:sz w:val="20"/>
          <w:szCs w:val="20"/>
          <w:color w:val="auto"/>
        </w:rPr>
      </w:pPr>
      <w:r>
        <w:rPr>
          <w:rFonts w:ascii="Times New Roman" w:cs="Times New Roman" w:eastAsia="Times New Roman" w:hAnsi="Times New Roman"/>
          <w:sz w:val="18"/>
          <w:szCs w:val="18"/>
          <w:color w:val="auto"/>
        </w:rPr>
        <w:t>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might not be able to obtain insurance.</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be exposed to liability claims associated with the use of hazardous materials and chemicals.</w:t>
      </w:r>
    </w:p>
    <w:p>
      <w:pPr>
        <w:spacing w:after="0" w:line="18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fraud or other misconduct, including failure to:</w:t>
      </w:r>
    </w:p>
    <w:p>
      <w:pPr>
        <w:spacing w:after="0" w:line="157" w:lineRule="exact"/>
        <w:rPr>
          <w:sz w:val="20"/>
          <w:szCs w:val="20"/>
          <w:color w:val="auto"/>
        </w:rPr>
      </w:pPr>
    </w:p>
    <w:p>
      <w:pPr>
        <w:jc w:val="center"/>
        <w:ind w:left="5540" w:right="1100" w:hanging="5158"/>
        <w:spacing w:after="0" w:line="516" w:lineRule="auto"/>
        <w:tabs>
          <w:tab w:leader="none" w:pos="7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regulations of, and provide accurate information to, the FDA or comparable foreign regulatory authorities;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9" w:name="page40"/>
    <w:bookmarkEnd w:id="39"/>
    <w:p>
      <w:pPr>
        <w:ind w:left="760" w:hanging="378"/>
        <w:spacing w:after="0" w:line="237"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130" w:lineRule="exact"/>
        <w:rPr>
          <w:rFonts w:ascii="Times New Roman" w:cs="Times New Roman" w:eastAsia="Times New Roman" w:hAnsi="Times New Roman"/>
          <w:sz w:val="18"/>
          <w:szCs w:val="18"/>
          <w:color w:val="auto"/>
        </w:rPr>
      </w:pPr>
    </w:p>
    <w:p>
      <w:pPr>
        <w:ind w:left="760" w:hanging="378"/>
        <w:spacing w:after="0" w:line="237"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the U.K. Bribery Act 2010, the PRC Criminal Law, the PRC Anti-unfair Competition Law and other anti-bribery and trade laws;</w:t>
      </w:r>
    </w:p>
    <w:p>
      <w:pPr>
        <w:spacing w:after="0" w:line="13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and data accurately; or</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protecting our intellectual property.</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4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0" w:name="page41"/>
    <w:bookmarkEnd w:id="40"/>
    <w:p>
      <w:pPr>
        <w:jc w:val="both"/>
        <w:spacing w:after="0" w:line="250" w:lineRule="auto"/>
        <w:rPr>
          <w:sz w:val="20"/>
          <w:szCs w:val="20"/>
          <w:color w:val="auto"/>
        </w:rPr>
      </w:pPr>
      <w:r>
        <w:rPr>
          <w:rFonts w:ascii="Times New Roman" w:cs="Times New Roman" w:eastAsia="Times New Roman" w:hAnsi="Times New Roman"/>
          <w:sz w:val="18"/>
          <w:szCs w:val="18"/>
          <w:color w:val="auto"/>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our patents and other intellectual property rights.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1" w:name="page42"/>
    <w:bookmarkEnd w:id="41"/>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34" w:lineRule="exact"/>
        <w:rPr>
          <w:sz w:val="20"/>
          <w:szCs w:val="20"/>
          <w:color w:val="auto"/>
        </w:rPr>
      </w:pPr>
    </w:p>
    <w:p>
      <w:pPr>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3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13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134"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China, although the government has increased the lower and upper limits on penalties on producers of counterfeit and substandard pharmaceuticals, these penalties have not eliminated counterfeit pharmaceuticals. As a result, we may 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might fluctuate significantly, and you could lose all or part of your investment.</w:t>
      </w:r>
    </w:p>
    <w:p>
      <w:pPr>
        <w:spacing w:after="0" w:line="1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0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following exhibits are filed or furnished, as applicable, as part of this quarterly report on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tcPr>
          <w:p>
            <w:pPr>
              <w:ind w:left="300"/>
              <w:spacing w:after="0" w:line="15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gridSpan w:val="5"/>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2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Filed</w:t>
            </w:r>
          </w:p>
        </w:tc>
        <w:tc>
          <w:tcPr>
            <w:tcW w:w="12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by Reference</w:t>
            </w:r>
          </w:p>
        </w:tc>
        <w:tc>
          <w:tcPr>
            <w:tcW w:w="120" w:type="dxa"/>
            <w:vAlign w:val="bottom"/>
          </w:tcPr>
          <w:p>
            <w:pPr>
              <w:spacing w:after="0"/>
              <w:rPr>
                <w:sz w:val="13"/>
                <w:szCs w:val="13"/>
                <w:color w:val="auto"/>
              </w:rPr>
            </w:pPr>
          </w:p>
        </w:tc>
        <w:tc>
          <w:tcPr>
            <w:tcW w:w="10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3"/>
                <w:szCs w:val="13"/>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02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220" w:type="dxa"/>
            <w:vAlign w:val="bottom"/>
            <w:tcBorders>
              <w:top w:val="single" w:sz="8" w:color="0000FF"/>
            </w:tcBorders>
            <w:gridSpan w:val="2"/>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020" w:type="dxa"/>
            <w:vAlign w:val="bottom"/>
            <w:tcBorders>
              <w:top w:val="single" w:sz="8" w:color="0000FF"/>
            </w:tcBorders>
          </w:tcPr>
          <w:p>
            <w:pPr>
              <w:spacing w:after="0"/>
              <w:rPr>
                <w:sz w:val="14"/>
                <w:szCs w:val="14"/>
                <w:color w:val="auto"/>
              </w:rPr>
            </w:pPr>
          </w:p>
        </w:tc>
        <w:tc>
          <w:tcPr>
            <w:tcW w:w="5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906 of the</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220" w:type="dxa"/>
            <w:vAlign w:val="bottom"/>
            <w:tcBorders>
              <w:top w:val="single" w:sz="8" w:color="0000FF"/>
            </w:tcBorders>
            <w:gridSpan w:val="2"/>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8"/>
        <w:spacing w:after="0" w:line="258" w:lineRule="auto"/>
        <w:tabs>
          <w:tab w:leader="none" w:pos="1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not deemed filed with the SEC and are not to be incorporated by reference into any filing of Assembly Biosciences, Inc. under the Securities Act or the Exchange Act, whether made before or after the date of this Quarterly Report on Form 10-Q, irrespective of any general incorporation language contained in such filing.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5" w:name="page46"/>
    <w:bookmarkEnd w:id="45"/>
    <w:p>
      <w:pPr>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Exchange Act of 1934, the registrant caused this report to be signed on its behalf by the undersigned, thereunto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Assembly Biosciences, Inc.</w:t>
            </w:r>
          </w:p>
        </w:tc>
      </w:tr>
      <w:tr>
        <w:trPr>
          <w:trHeight w:val="431"/>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8, 2022</w:t>
            </w:r>
          </w:p>
        </w:tc>
        <w:tc>
          <w:tcPr>
            <w:tcW w:w="2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G. McHutchison, A.O., M.D.</w:t>
            </w:r>
          </w:p>
        </w:tc>
      </w:tr>
      <w:tr>
        <w:trPr>
          <w:trHeight w:val="191"/>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G. McHutchison, A.O., M.D.</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1"/>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8, 2022</w:t>
            </w:r>
          </w:p>
        </w:tc>
        <w:tc>
          <w:tcPr>
            <w:tcW w:w="2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A. Okazaki</w:t>
            </w:r>
          </w:p>
        </w:tc>
      </w:tr>
      <w:tr>
        <w:trPr>
          <w:trHeight w:val="191"/>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Jason A. Okazaki</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34"/>
        </w:trPr>
        <w:tc>
          <w:tcPr>
            <w:tcW w:w="3660" w:type="dxa"/>
            <w:vAlign w:val="bottom"/>
          </w:tcPr>
          <w:p>
            <w:pPr>
              <w:spacing w:after="0"/>
              <w:rPr>
                <w:sz w:val="24"/>
                <w:szCs w:val="24"/>
                <w:color w:val="auto"/>
              </w:rPr>
            </w:pPr>
          </w:p>
        </w:tc>
        <w:tc>
          <w:tcPr>
            <w:tcW w:w="2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c>
          <w:tcPr>
            <w:tcW w:w="5160" w:type="dxa"/>
            <w:vAlign w:val="bottom"/>
          </w:tcPr>
          <w:p>
            <w:pPr>
              <w:spacing w:after="0"/>
              <w:rPr>
                <w:sz w:val="24"/>
                <w:szCs w:val="24"/>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5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 McHutchison, A.O., M.D., certify that:</w:t>
      </w:r>
    </w:p>
    <w:p>
      <w:pPr>
        <w:spacing w:after="0" w:line="155" w:lineRule="exact"/>
        <w:rPr>
          <w:sz w:val="20"/>
          <w:szCs w:val="20"/>
          <w:color w:val="auto"/>
        </w:rPr>
      </w:pPr>
    </w:p>
    <w:p>
      <w:pPr>
        <w:ind w:left="520" w:hanging="512"/>
        <w:spacing w:after="0" w:line="207" w:lineRule="exact"/>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w:t>
      </w:r>
    </w:p>
    <w:p>
      <w:pPr>
        <w:spacing w:after="0" w:line="212"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520" w:hanging="512"/>
        <w:spacing w:after="0" w:line="213" w:lineRule="exact"/>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020" w:hanging="504"/>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8"/>
          <w:szCs w:val="18"/>
          <w:color w:val="auto"/>
        </w:rPr>
      </w:pPr>
    </w:p>
    <w:p>
      <w:pPr>
        <w:jc w:val="both"/>
        <w:ind w:left="1020" w:hanging="504"/>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8"/>
          <w:szCs w:val="18"/>
          <w:color w:val="auto"/>
        </w:rPr>
      </w:pPr>
    </w:p>
    <w:p>
      <w:pPr>
        <w:ind w:left="1020" w:hanging="504"/>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020" w:hanging="504"/>
        <w:spacing w:after="0" w:line="25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20" w:hanging="504"/>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020" w:hanging="504"/>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25" w:lineRule="exact"/>
        <w:rPr>
          <w:sz w:val="20"/>
          <w:szCs w:val="20"/>
          <w:color w:val="auto"/>
        </w:rPr>
      </w:pPr>
    </w:p>
    <w:p>
      <w:pPr>
        <w:ind w:left="576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17145</wp:posOffset>
            </wp:positionV>
            <wp:extent cx="3133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John G. McHutchison, A.O., M.D.</w:t>
      </w:r>
    </w:p>
    <w:p>
      <w:pPr>
        <w:spacing w:after="0" w:line="2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A. Okazaki, certify that:</w:t>
      </w:r>
    </w:p>
    <w:p>
      <w:pPr>
        <w:spacing w:after="0" w:line="155" w:lineRule="exact"/>
        <w:rPr>
          <w:sz w:val="20"/>
          <w:szCs w:val="20"/>
          <w:color w:val="auto"/>
        </w:rPr>
      </w:pPr>
    </w:p>
    <w:p>
      <w:pPr>
        <w:ind w:left="520" w:hanging="512"/>
        <w:spacing w:after="0" w:line="207" w:lineRule="exact"/>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w:t>
      </w:r>
    </w:p>
    <w:p>
      <w:pPr>
        <w:spacing w:after="0" w:line="212"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520" w:hanging="512"/>
        <w:spacing w:after="0" w:line="213" w:lineRule="exact"/>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020" w:hanging="504"/>
        <w:spacing w:after="0" w:line="258"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8"/>
          <w:szCs w:val="18"/>
          <w:color w:val="auto"/>
        </w:rPr>
      </w:pPr>
    </w:p>
    <w:p>
      <w:pPr>
        <w:jc w:val="both"/>
        <w:ind w:left="1020" w:hanging="504"/>
        <w:spacing w:after="0" w:line="258"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8"/>
          <w:szCs w:val="18"/>
          <w:color w:val="auto"/>
        </w:rPr>
      </w:pPr>
    </w:p>
    <w:p>
      <w:pPr>
        <w:ind w:left="1020" w:hanging="504"/>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020" w:hanging="504"/>
        <w:spacing w:after="0" w:line="25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20" w:hanging="504"/>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020" w:hanging="504"/>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25" w:lineRule="exact"/>
        <w:rPr>
          <w:sz w:val="20"/>
          <w:szCs w:val="20"/>
          <w:color w:val="auto"/>
        </w:rPr>
      </w:pPr>
    </w:p>
    <w:p>
      <w:pPr>
        <w:ind w:left="576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17145</wp:posOffset>
            </wp:positionV>
            <wp:extent cx="3133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Jason A. Okazaki</w:t>
      </w:r>
    </w:p>
    <w:p>
      <w:pPr>
        <w:spacing w:after="0" w:line="2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President and Chief Operating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8" w:name="page49"/>
    <w:bookmarkEnd w:id="48"/>
    <w:p>
      <w:pPr>
        <w:ind w:left="100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0"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In connection with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 (the Company) for the period ended September 30, 2022 as filed with the Securities and Exchange Commission on or about the date hereof (the Report), I, John G. McHutchison, A.O., M.D., Chief Executive Officer, hereby certify, pursuant to 18 U.S.C. Section 1350, as adopted pursuant to Section 906 of the Sarbanes-Oxley Act of 2002, that, to my knowledge:</w:t>
      </w:r>
    </w:p>
    <w:p>
      <w:pPr>
        <w:spacing w:after="0" w:line="173"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35617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John G. McHutchison, A.O., M.D.</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ind w:left="100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0"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In connection with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 (the Company) for the period ended September 30, 2022 as filed with the Securities and Exchange Commission on or about the date hereof (the Report), I, Jason A. Okazaki, President and Chief Operating Officer, hereby certify, pursuant to 18 U.S.C. Section 1350, as adopted pursuant to Section 906 of the Sarbanes-Oxley Act of 2002, that, to my knowledge:</w:t>
      </w:r>
    </w:p>
    <w:p>
      <w:pPr>
        <w:spacing w:after="0" w:line="173" w:lineRule="exact"/>
        <w:rPr>
          <w:sz w:val="20"/>
          <w:szCs w:val="20"/>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35617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Jason A. Okazaki</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Operating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2022-11-08T16:29:00Z</dcterms:created>
  <dcterms:modified xsi:type="dcterms:W3CDTF">2022-11-08T16:29:00Z</dcterms:modified>
</cp:coreProperties>
</file>