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94615</wp:posOffset>
            </wp:positionV>
            <wp:extent cx="1337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96520</wp:posOffset>
            </wp:positionV>
            <wp:extent cx="1337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54" w:lineRule="exact"/>
        <w:rPr>
          <w:sz w:val="24"/>
          <w:szCs w:val="24"/>
          <w:color w:val="auto"/>
        </w:rPr>
      </w:pPr>
    </w:p>
    <w:p>
      <w:pPr>
        <w:ind w:left="4000" w:right="2540" w:hanging="3992"/>
        <w:spacing w:after="0" w:line="457" w:lineRule="auto"/>
        <w:tabs>
          <w:tab w:leader="none" w:pos="47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spacing w:after="0" w:line="271" w:lineRule="exact"/>
        <w:rPr>
          <w:sz w:val="24"/>
          <w:szCs w:val="24"/>
          <w:color w:val="auto"/>
        </w:rPr>
      </w:pPr>
    </w:p>
    <w:p>
      <w:pPr>
        <w:ind w:left="3580" w:right="2520" w:hanging="3572"/>
        <w:spacing w:after="0" w:line="422" w:lineRule="auto"/>
        <w:tabs>
          <w:tab w:leader="none" w:pos="469"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___________to___________.</w:t>
      </w:r>
    </w:p>
    <w:p>
      <w:pPr>
        <w:ind w:left="43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114935</wp:posOffset>
            </wp:positionV>
            <wp:extent cx="1337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61"/>
        </w:trPr>
        <w:tc>
          <w:tcPr>
            <w:tcW w:w="3840" w:type="dxa"/>
            <w:vAlign w:val="bottom"/>
          </w:tcPr>
          <w:p>
            <w:pPr>
              <w:spacing w:after="0"/>
              <w:rPr>
                <w:sz w:val="22"/>
                <w:szCs w:val="22"/>
                <w:color w:val="auto"/>
              </w:rPr>
            </w:pPr>
          </w:p>
        </w:tc>
        <w:tc>
          <w:tcPr>
            <w:tcW w:w="3420" w:type="dxa"/>
            <w:vAlign w:val="bottom"/>
            <w:gridSpan w:val="5"/>
          </w:tcPr>
          <w:p>
            <w:pPr>
              <w:jc w:val="center"/>
              <w:ind w:left="72"/>
              <w:spacing w:after="0"/>
              <w:rPr>
                <w:sz w:val="20"/>
                <w:szCs w:val="20"/>
                <w:color w:val="auto"/>
              </w:rPr>
            </w:pPr>
            <w:r>
              <w:rPr>
                <w:rFonts w:ascii="Arial" w:cs="Arial" w:eastAsia="Arial" w:hAnsi="Arial"/>
                <w:sz w:val="22"/>
                <w:szCs w:val="22"/>
                <w:b w:val="1"/>
                <w:bCs w:val="1"/>
                <w:color w:val="auto"/>
                <w:w w:val="96"/>
              </w:rPr>
              <w:t>ASSEMBLY BIOSCIENCES, INC.</w:t>
            </w: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1"/>
              <w:spacing w:after="0"/>
              <w:rPr>
                <w:sz w:val="20"/>
                <w:szCs w:val="20"/>
                <w:color w:val="auto"/>
              </w:rPr>
            </w:pPr>
            <w:r>
              <w:rPr>
                <w:rFonts w:ascii="Arial" w:cs="Arial" w:eastAsia="Arial" w:hAnsi="Arial"/>
                <w:sz w:val="16"/>
                <w:szCs w:val="16"/>
                <w:color w:val="auto"/>
                <w:w w:val="91"/>
              </w:rPr>
              <w:t>(Exact name of Registrant as specified in its charter)</w:t>
            </w:r>
          </w:p>
        </w:tc>
        <w:tc>
          <w:tcPr>
            <w:tcW w:w="0" w:type="dxa"/>
            <w:vAlign w:val="bottom"/>
          </w:tcPr>
          <w:p>
            <w:pPr>
              <w:spacing w:after="0"/>
              <w:rPr>
                <w:sz w:val="1"/>
                <w:szCs w:val="1"/>
                <w:color w:val="auto"/>
              </w:rPr>
            </w:pPr>
          </w:p>
        </w:tc>
      </w:tr>
      <w:tr>
        <w:trPr>
          <w:trHeight w:val="280"/>
        </w:trPr>
        <w:tc>
          <w:tcPr>
            <w:tcW w:w="3840" w:type="dxa"/>
            <w:vAlign w:val="bottom"/>
          </w:tcPr>
          <w:p>
            <w:pPr>
              <w:jc w:val="center"/>
              <w:ind w:left="1700"/>
              <w:spacing w:after="0"/>
              <w:rPr>
                <w:sz w:val="20"/>
                <w:szCs w:val="20"/>
                <w:color w:val="auto"/>
              </w:rPr>
            </w:pPr>
            <w:r>
              <w:rPr>
                <w:rFonts w:ascii="Arial" w:cs="Arial" w:eastAsia="Arial" w:hAnsi="Arial"/>
                <w:sz w:val="16"/>
                <w:szCs w:val="16"/>
                <w:b w:val="1"/>
                <w:bCs w:val="1"/>
                <w:color w:val="auto"/>
                <w:w w:val="93"/>
              </w:rPr>
              <w:t>Delaware</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jc w:val="right"/>
              <w:ind w:right="2341"/>
              <w:spacing w:after="0"/>
              <w:rPr>
                <w:sz w:val="20"/>
                <w:szCs w:val="20"/>
                <w:color w:val="auto"/>
              </w:rPr>
            </w:pPr>
            <w:r>
              <w:rPr>
                <w:rFonts w:ascii="Arial" w:cs="Arial" w:eastAsia="Arial" w:hAnsi="Arial"/>
                <w:sz w:val="16"/>
                <w:szCs w:val="16"/>
                <w:b w:val="1"/>
                <w:bCs w:val="1"/>
                <w:color w:val="auto"/>
              </w:rPr>
              <w:t>20-8729264</w:t>
            </w:r>
          </w:p>
        </w:tc>
        <w:tc>
          <w:tcPr>
            <w:tcW w:w="0" w:type="dxa"/>
            <w:vAlign w:val="bottom"/>
          </w:tcPr>
          <w:p>
            <w:pPr>
              <w:spacing w:after="0"/>
              <w:rPr>
                <w:sz w:val="1"/>
                <w:szCs w:val="1"/>
                <w:color w:val="auto"/>
              </w:rPr>
            </w:pPr>
          </w:p>
        </w:tc>
      </w:tr>
      <w:tr>
        <w:trPr>
          <w:trHeight w:val="203"/>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3"/>
              </w:rPr>
              <w:t>(State or other jurisdiction of</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jc w:val="center"/>
              <w:ind w:right="1561"/>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206"/>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4"/>
              </w:rPr>
              <w:t>incorporation or organization)</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260" w:type="dxa"/>
            <w:vAlign w:val="bottom"/>
            <w:gridSpan w:val="6"/>
          </w:tcPr>
          <w:p>
            <w:pPr>
              <w:jc w:val="center"/>
              <w:ind w:right="1620"/>
              <w:spacing w:after="0"/>
              <w:rPr>
                <w:sz w:val="20"/>
                <w:szCs w:val="20"/>
                <w:color w:val="auto"/>
              </w:rPr>
            </w:pPr>
            <w:r>
              <w:rPr>
                <w:rFonts w:ascii="Arial" w:cs="Arial" w:eastAsia="Arial" w:hAnsi="Arial"/>
                <w:sz w:val="16"/>
                <w:szCs w:val="16"/>
                <w:b w:val="1"/>
                <w:bCs w:val="1"/>
                <w:color w:val="auto"/>
                <w:w w:val="93"/>
              </w:rPr>
              <w:t>331 Oyster Point Blvd., Fourth Floor</w:t>
            </w: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7260" w:type="dxa"/>
            <w:vAlign w:val="bottom"/>
            <w:gridSpan w:val="6"/>
          </w:tcPr>
          <w:p>
            <w:pPr>
              <w:jc w:val="center"/>
              <w:ind w:right="1640"/>
              <w:spacing w:after="0"/>
              <w:rPr>
                <w:sz w:val="20"/>
                <w:szCs w:val="20"/>
                <w:color w:val="auto"/>
              </w:rPr>
            </w:pPr>
            <w:r>
              <w:rPr>
                <w:rFonts w:ascii="Arial" w:cs="Arial" w:eastAsia="Arial" w:hAnsi="Arial"/>
                <w:sz w:val="16"/>
                <w:szCs w:val="16"/>
                <w:b w:val="1"/>
                <w:bCs w:val="1"/>
                <w:color w:val="auto"/>
                <w:w w:val="91"/>
              </w:rPr>
              <w:t>South San Francisco, California</w:t>
            </w:r>
          </w:p>
        </w:tc>
        <w:tc>
          <w:tcPr>
            <w:tcW w:w="3980" w:type="dxa"/>
            <w:vAlign w:val="bottom"/>
          </w:tcPr>
          <w:p>
            <w:pPr>
              <w:jc w:val="right"/>
              <w:ind w:right="2521"/>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206"/>
        </w:trPr>
        <w:tc>
          <w:tcPr>
            <w:tcW w:w="7260" w:type="dxa"/>
            <w:vAlign w:val="bottom"/>
            <w:gridSpan w:val="6"/>
          </w:tcPr>
          <w:p>
            <w:pPr>
              <w:jc w:val="center"/>
              <w:ind w:right="1620"/>
              <w:spacing w:after="0"/>
              <w:rPr>
                <w:sz w:val="20"/>
                <w:szCs w:val="20"/>
                <w:color w:val="auto"/>
              </w:rPr>
            </w:pPr>
            <w:r>
              <w:rPr>
                <w:rFonts w:ascii="Arial" w:cs="Arial" w:eastAsia="Arial" w:hAnsi="Arial"/>
                <w:sz w:val="16"/>
                <w:szCs w:val="16"/>
                <w:color w:val="auto"/>
                <w:w w:val="93"/>
              </w:rPr>
              <w:t>(Address of principal executive offices)</w:t>
            </w:r>
          </w:p>
        </w:tc>
        <w:tc>
          <w:tcPr>
            <w:tcW w:w="3980" w:type="dxa"/>
            <w:vAlign w:val="bottom"/>
          </w:tcPr>
          <w:p>
            <w:pPr>
              <w:jc w:val="center"/>
              <w:ind w:right="1561"/>
              <w:spacing w:after="0"/>
              <w:rPr>
                <w:sz w:val="20"/>
                <w:szCs w:val="20"/>
                <w:color w:val="auto"/>
              </w:rPr>
            </w:pPr>
            <w:r>
              <w:rPr>
                <w:rFonts w:ascii="Arial" w:cs="Arial" w:eastAsia="Arial" w:hAnsi="Arial"/>
                <w:sz w:val="16"/>
                <w:szCs w:val="16"/>
                <w:color w:val="auto"/>
                <w:w w:val="93"/>
              </w:rPr>
              <w:t>(zip code)</w:t>
            </w:r>
          </w:p>
        </w:tc>
        <w:tc>
          <w:tcPr>
            <w:tcW w:w="0" w:type="dxa"/>
            <w:vAlign w:val="bottom"/>
          </w:tcPr>
          <w:p>
            <w:pPr>
              <w:spacing w:after="0"/>
              <w:rPr>
                <w:sz w:val="1"/>
                <w:szCs w:val="1"/>
                <w:color w:val="auto"/>
              </w:rPr>
            </w:pPr>
          </w:p>
        </w:tc>
      </w:tr>
      <w:tr>
        <w:trPr>
          <w:trHeight w:val="280"/>
        </w:trPr>
        <w:tc>
          <w:tcPr>
            <w:tcW w:w="3840" w:type="dxa"/>
            <w:vAlign w:val="bottom"/>
          </w:tcPr>
          <w:p>
            <w:pPr>
              <w:spacing w:after="0"/>
              <w:rPr>
                <w:sz w:val="24"/>
                <w:szCs w:val="24"/>
                <w:color w:val="auto"/>
              </w:rPr>
            </w:pPr>
          </w:p>
        </w:tc>
        <w:tc>
          <w:tcPr>
            <w:tcW w:w="2840" w:type="dxa"/>
            <w:vAlign w:val="bottom"/>
            <w:gridSpan w:val="3"/>
          </w:tcPr>
          <w:p>
            <w:pPr>
              <w:jc w:val="center"/>
              <w:ind w:left="652"/>
              <w:spacing w:after="0"/>
              <w:rPr>
                <w:sz w:val="20"/>
                <w:szCs w:val="20"/>
                <w:color w:val="auto"/>
              </w:rPr>
            </w:pPr>
            <w:r>
              <w:rPr>
                <w:rFonts w:ascii="Arial" w:cs="Arial" w:eastAsia="Arial" w:hAnsi="Arial"/>
                <w:sz w:val="16"/>
                <w:szCs w:val="16"/>
                <w:b w:val="1"/>
                <w:bCs w:val="1"/>
                <w:color w:val="auto"/>
                <w:w w:val="93"/>
              </w:rPr>
              <w:t>(833) 509-4583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1"/>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gridSpan w:val="2"/>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tcBorders>
          </w:tcPr>
          <w:p>
            <w:pPr>
              <w:jc w:val="center"/>
              <w:ind w:left="600"/>
              <w:spacing w:after="0"/>
              <w:rPr>
                <w:sz w:val="20"/>
                <w:szCs w:val="20"/>
                <w:color w:val="auto"/>
              </w:rPr>
            </w:pPr>
            <w:r>
              <w:rPr>
                <w:rFonts w:ascii="Arial" w:cs="Arial" w:eastAsia="Arial" w:hAnsi="Arial"/>
                <w:sz w:val="14"/>
                <w:szCs w:val="14"/>
                <w:color w:val="auto"/>
                <w:w w:val="92"/>
              </w:rPr>
              <w:t>Title of each class</w:t>
            </w:r>
          </w:p>
        </w:tc>
        <w:tc>
          <w:tcPr>
            <w:tcW w:w="6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6"/>
              </w:rPr>
              <w:t>Trading Symbol(s)</w:t>
            </w:r>
          </w:p>
        </w:tc>
        <w:tc>
          <w:tcPr>
            <w:tcW w:w="50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center"/>
              <w:ind w:right="441"/>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233"/>
        </w:trPr>
        <w:tc>
          <w:tcPr>
            <w:tcW w:w="3840" w:type="dxa"/>
            <w:vAlign w:val="bottom"/>
            <w:tcBorders>
              <w:left w:val="single" w:sz="8" w:color="auto"/>
              <w:bottom w:val="single" w:sz="8" w:color="auto"/>
            </w:tcBorders>
          </w:tcPr>
          <w:p>
            <w:pPr>
              <w:jc w:val="center"/>
              <w:ind w:left="620"/>
              <w:spacing w:after="0"/>
              <w:rPr>
                <w:sz w:val="20"/>
                <w:szCs w:val="20"/>
                <w:color w:val="auto"/>
              </w:rPr>
            </w:pPr>
            <w:r>
              <w:rPr>
                <w:rFonts w:ascii="Arial" w:cs="Arial" w:eastAsia="Arial" w:hAnsi="Arial"/>
                <w:sz w:val="16"/>
                <w:szCs w:val="16"/>
                <w:color w:val="auto"/>
                <w:w w:val="91"/>
              </w:rPr>
              <w:t>Common Stock, par value $0.001</w:t>
            </w:r>
          </w:p>
        </w:tc>
        <w:tc>
          <w:tcPr>
            <w:tcW w:w="6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6"/>
                <w:szCs w:val="16"/>
                <w:color w:val="auto"/>
              </w:rPr>
              <w:t>ASMB</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jc w:val="center"/>
              <w:ind w:right="421"/>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73"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right="2940"/>
        <w:spacing w:after="0" w:line="260" w:lineRule="exact"/>
        <w:rPr>
          <w:sz w:val="20"/>
          <w:szCs w:val="20"/>
          <w:color w:val="auto"/>
        </w:rPr>
      </w:pPr>
      <w:r>
        <w:rPr>
          <w:rFonts w:ascii="Arial" w:cs="Arial" w:eastAsia="Arial" w:hAnsi="Arial"/>
          <w:sz w:val="16"/>
          <w:szCs w:val="16"/>
          <w:color w:val="auto"/>
        </w:rPr>
        <w:t xml:space="preserve">Indicate by check mark whether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3, 2021, there were 40,158,197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171"/>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PART I:</w:t>
            </w:r>
          </w:p>
        </w:tc>
        <w:tc>
          <w:tcPr>
            <w:tcW w:w="22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728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7"/>
        </w:trPr>
        <w:tc>
          <w:tcPr>
            <w:tcW w:w="1020" w:type="dxa"/>
            <w:vAlign w:val="bottom"/>
          </w:tcPr>
          <w:p>
            <w:pPr>
              <w:spacing w:after="0"/>
              <w:rPr>
                <w:sz w:val="24"/>
                <w:szCs w:val="24"/>
                <w:color w:val="auto"/>
              </w:rPr>
            </w:pPr>
          </w:p>
        </w:tc>
        <w:tc>
          <w:tcPr>
            <w:tcW w:w="69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at March 31, 2021 (unaudited) and December 31, 2020</w:t>
              </w:r>
            </w:hyperlink>
          </w:p>
        </w:tc>
        <w:tc>
          <w:tcPr>
            <w:tcW w:w="260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102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Loss for the Three Months Ended March 31, 2021 and 2020</w:t>
              </w:r>
            </w:hyperlink>
          </w:p>
        </w:tc>
        <w:tc>
          <w:tcPr>
            <w:tcW w:w="6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5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85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2021 and 2020 (unaudited)</w:t>
              </w:r>
            </w:hyperlink>
          </w:p>
        </w:tc>
        <w:tc>
          <w:tcPr>
            <w:tcW w:w="9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02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Changes in Stockholders’ Equity for the Three Months Ended March 31, 2021 and 2020</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1020" w:type="dxa"/>
            <w:vAlign w:val="bottom"/>
          </w:tcPr>
          <w:p>
            <w:pPr>
              <w:spacing w:after="0"/>
              <w:rPr>
                <w:sz w:val="17"/>
                <w:szCs w:val="17"/>
                <w:color w:val="auto"/>
              </w:rPr>
            </w:pPr>
          </w:p>
        </w:tc>
        <w:tc>
          <w:tcPr>
            <w:tcW w:w="92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3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51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the Condensed Consolidated Financial Statements (unaudited)</w:t>
              </w:r>
            </w:hyperlink>
          </w:p>
        </w:tc>
        <w:tc>
          <w:tcPr>
            <w:tcW w:w="44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24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PART II:</w:t>
            </w:r>
          </w:p>
        </w:tc>
        <w:tc>
          <w:tcPr>
            <w:tcW w:w="954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766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520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722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78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940" w:type="dxa"/>
            <w:vAlign w:val="bottom"/>
            <w:gridSpan w:val="1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560" w:type="dxa"/>
            <w:vAlign w:val="bottom"/>
            <w:gridSpan w:val="2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784"/>
        </w:trPr>
        <w:tc>
          <w:tcPr>
            <w:tcW w:w="10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References to Assembly Biosciences, Inc.</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Throughout this Quarterly Report on Form 10-Q, the “Company,” “Assembly,” “we,” “us,” and “our,” except where the context requires otherwise, refer to Assembly Biosciences, Inc. and its consolidated subsidiaries, and “our board of directors” or “the Board” refers to the board of directors of Assembly Biosciences,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are subject to certain risks and uncertainties, including, without limitation, those set forth in Part I, Item 1A of our Annual Report on Form 10-K filed with the U.S. Securities and Exchanges Commission (SEC) on February 25, 2021 (2020 Annual Report) and Part II, Item 1A of this Quarterly Report on Form 10-Q under the heading “Risk Factors,” that could cause actual results to materially differ. In addition, factors that could cause actual results to differ from those stated in the forward-looking statements in this Quarterly Report on Form 10-Q include, among other things:</w:t>
      </w:r>
    </w:p>
    <w:p>
      <w:pPr>
        <w:spacing w:after="0" w:line="147" w:lineRule="exact"/>
        <w:rPr>
          <w:sz w:val="20"/>
          <w:szCs w:val="20"/>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ability to initiate and complete clinical trials involving our chronic hepatitis B virus (HBV) therapeutic product candidates in the currently anticipated timeframes;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safety and efficacy data from clinical studies may not warrant further development of our product candidates;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clinical and nonclinical data presented at conferences may not differentiate our product candidates from other companies’ candidates;</w:t>
      </w:r>
    </w:p>
    <w:p>
      <w:pPr>
        <w:spacing w:after="0" w:line="223" w:lineRule="exact"/>
        <w:rPr>
          <w:rFonts w:ascii="Arial" w:cs="Arial" w:eastAsia="Arial" w:hAnsi="Arial"/>
          <w:sz w:val="17"/>
          <w:szCs w:val="17"/>
          <w:color w:val="auto"/>
        </w:rPr>
      </w:pPr>
    </w:p>
    <w:p>
      <w:pPr>
        <w:ind w:left="880" w:right="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development and commercialization of our HBV product candidates is dependent on, and subject to, our collaboration agreement governing our activity in the China territory;</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ability to maintain financial resources necessary to continue our clinical studies and fund business operations; and</w:t>
      </w:r>
    </w:p>
    <w:p>
      <w:pPr>
        <w:spacing w:after="0" w:line="211"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that the COVID-19 pandemic may have on our business and operations, including initiation and continuation of our clinical studies or timing of discussions with regulatory authorities.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 and par value)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46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2020</w:t>
            </w:r>
          </w:p>
        </w:tc>
      </w:tr>
      <w:tr>
        <w:trPr>
          <w:trHeight w:val="156"/>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288"/>
              <w:spacing w:after="0" w:line="155" w:lineRule="exact"/>
              <w:rPr>
                <w:sz w:val="20"/>
                <w:szCs w:val="20"/>
                <w:color w:val="auto"/>
              </w:rPr>
            </w:pPr>
            <w:r>
              <w:rPr>
                <w:rFonts w:ascii="Arial" w:cs="Arial" w:eastAsia="Arial" w:hAnsi="Arial"/>
                <w:sz w:val="14"/>
                <w:szCs w:val="14"/>
                <w:b w:val="1"/>
                <w:bCs w:val="1"/>
                <w:color w:val="auto"/>
                <w:w w:val="97"/>
              </w:rPr>
              <w:t>(Unaudited)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78,253</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59,444</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136,631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156,969</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from collaborations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203</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1,230</w:t>
            </w: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6,547</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6,850</w:t>
            </w: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221,634</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224,493</w:t>
            </w:r>
          </w:p>
        </w:tc>
      </w:tr>
      <w:tr>
        <w:trPr>
          <w:trHeight w:val="155"/>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1,493</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1,600</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Operating lease right-of-use (ROU) assets</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8,104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9,131</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6,034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6,392</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Indefinite-lived intangible asset</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29,000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29,000</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Goodwill</w:t>
            </w: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12,638</w:t>
            </w:r>
          </w:p>
        </w:tc>
        <w:tc>
          <w:tcPr>
            <w:tcW w:w="1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12,638</w:t>
            </w:r>
          </w:p>
        </w:tc>
      </w:tr>
      <w:tr>
        <w:trPr>
          <w:trHeight w:val="196"/>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278,903</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283,254</w:t>
            </w:r>
          </w:p>
        </w:tc>
      </w:tr>
      <w:tr>
        <w:trPr>
          <w:trHeight w:val="143"/>
        </w:trPr>
        <w:tc>
          <w:tcPr>
            <w:tcW w:w="7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3,562</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4,598</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clinical expenses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4,342</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4,444</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Other accrued expenses</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3,659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11,987</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liabilities - short-term</w:t>
            </w: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2,934</w:t>
            </w:r>
          </w:p>
        </w:tc>
        <w:tc>
          <w:tcPr>
            <w:tcW w:w="1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3,404</w:t>
            </w:r>
          </w:p>
        </w:tc>
      </w:tr>
      <w:tr>
        <w:trPr>
          <w:trHeight w:val="156"/>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14,497</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24,433</w:t>
            </w:r>
          </w:p>
        </w:tc>
      </w:tr>
      <w:tr>
        <w:trPr>
          <w:trHeight w:val="155"/>
        </w:trPr>
        <w:tc>
          <w:tcPr>
            <w:tcW w:w="7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Deferred tax liabilities</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2,531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2,531</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8,987</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8,987</w:t>
            </w: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Operating lease liabilities - long-term</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5,644</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6,725</w:t>
            </w: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31,659</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42,676</w:t>
            </w:r>
          </w:p>
        </w:tc>
      </w:tr>
      <w:tr>
        <w:trPr>
          <w:trHeight w:val="155"/>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Commitments and contingencies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Stockholders' equity</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Preferred stock, $0.001 par value; 5,000,000 shares authorized; no shares issued or outstanding</w:t>
            </w:r>
          </w:p>
        </w:tc>
        <w:tc>
          <w:tcPr>
            <w:tcW w:w="240" w:type="dxa"/>
            <w:vAlign w:val="bottom"/>
          </w:tcPr>
          <w:p>
            <w:pPr>
              <w:spacing w:after="0"/>
              <w:rPr>
                <w:sz w:val="14"/>
                <w:szCs w:val="14"/>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43"/>
        </w:trPr>
        <w:tc>
          <w:tcPr>
            <w:tcW w:w="7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6"/>
              </w:rPr>
              <w:t>Common stock, $0.001 par value; 100,000,000 shares authorized as of March 31, 2021 and December 31, 2020; 40,104,684</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r>
      <w:tr>
        <w:trPr>
          <w:trHeight w:val="167"/>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and 34,026,680 shares issued and outstanding as of March 31, 2021 and December 31, 2020, respectively</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776,248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742,387</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(528,773)</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(501,573)</w:t>
            </w:r>
          </w:p>
        </w:tc>
      </w:tr>
      <w:tr>
        <w:trPr>
          <w:trHeight w:val="155"/>
        </w:trPr>
        <w:tc>
          <w:tcPr>
            <w:tcW w:w="77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247,244</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240,578</w:t>
            </w: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278,903</w:t>
            </w:r>
          </w:p>
        </w:tc>
        <w:tc>
          <w:tcPr>
            <w:tcW w:w="1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283,254</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74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3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51"/>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4,081</w:t>
            </w:r>
          </w:p>
        </w:tc>
      </w:tr>
      <w:tr>
        <w:trPr>
          <w:trHeight w:val="230"/>
        </w:trPr>
        <w:tc>
          <w:tcPr>
            <w:tcW w:w="7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18,554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23,046</w:t>
            </w: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8,704</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8,729</w:t>
            </w: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27,258</w:t>
            </w:r>
          </w:p>
        </w:tc>
        <w:tc>
          <w:tcPr>
            <w:tcW w:w="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31,775</w:t>
            </w: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(27,258)</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(27,694)</w:t>
            </w:r>
          </w:p>
        </w:tc>
      </w:tr>
      <w:tr>
        <w:trPr>
          <w:trHeight w:val="223"/>
        </w:trPr>
        <w:tc>
          <w:tcPr>
            <w:tcW w:w="7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and other income, net</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1,039</w:t>
            </w: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3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1,039</w:t>
            </w:r>
          </w:p>
        </w:tc>
      </w:tr>
      <w:tr>
        <w:trPr>
          <w:trHeight w:val="26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(27,200)</w:t>
            </w:r>
          </w:p>
        </w:tc>
        <w:tc>
          <w:tcPr>
            <w:tcW w:w="16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(26,655)</w:t>
            </w:r>
          </w:p>
        </w:tc>
      </w:tr>
      <w:tr>
        <w:trPr>
          <w:trHeight w:val="210"/>
        </w:trPr>
        <w:tc>
          <w:tcPr>
            <w:tcW w:w="74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 on marketable securities</w:t>
            </w:r>
          </w:p>
        </w:tc>
        <w:tc>
          <w:tcPr>
            <w:tcW w:w="3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115</w:t>
            </w:r>
          </w:p>
        </w:tc>
      </w:tr>
      <w:tr>
        <w:trPr>
          <w:trHeight w:val="26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loss</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(27,201)</w:t>
            </w:r>
          </w:p>
        </w:tc>
        <w:tc>
          <w:tcPr>
            <w:tcW w:w="16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(26,540)</w:t>
            </w:r>
          </w:p>
        </w:tc>
      </w:tr>
      <w:tr>
        <w:trPr>
          <w:trHeight w:val="210"/>
        </w:trPr>
        <w:tc>
          <w:tcPr>
            <w:tcW w:w="74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69"/>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60" w:type="dxa"/>
            <w:vAlign w:val="bottom"/>
            <w:tcBorders>
              <w:bottom w:val="single" w:sz="8" w:color="CFF0FC"/>
            </w:tcBorders>
          </w:tcPr>
          <w:p>
            <w:pPr>
              <w:spacing w:after="0"/>
              <w:rPr>
                <w:sz w:val="23"/>
                <w:szCs w:val="23"/>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r>
      <w:tr>
        <w:trPr>
          <w:trHeight w:val="210"/>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39,679,734</w:t>
            </w:r>
          </w:p>
        </w:tc>
        <w:tc>
          <w:tcPr>
            <w:tcW w:w="1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35,079,756</w:t>
            </w: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19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(27,200)</w:t>
            </w:r>
          </w:p>
        </w:tc>
        <w:tc>
          <w:tcPr>
            <w:tcW w:w="180" w:type="dxa"/>
            <w:vAlign w:val="bottom"/>
          </w:tcPr>
          <w:p>
            <w:pPr>
              <w:spacing w:after="0"/>
              <w:rPr>
                <w:sz w:val="19"/>
                <w:szCs w:val="19"/>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(26,655)</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Net accretion and amortization of investments in marketable debt securities</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rent expense</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1,135</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Loss on disposal of fixed assets</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1,611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Accounts receivable from collaboration</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29"/>
        </w:trPr>
        <w:tc>
          <w:tcPr>
            <w:tcW w:w="67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9"/>
        </w:trPr>
        <w:tc>
          <w:tcPr>
            <w:tcW w:w="6720" w:type="dxa"/>
            <w:vAlign w:val="bottom"/>
          </w:tcPr>
          <w:p>
            <w:pPr>
              <w:ind w:left="500"/>
              <w:spacing w:after="0"/>
              <w:rPr>
                <w:sz w:val="20"/>
                <w:szCs w:val="20"/>
                <w:color w:val="auto"/>
              </w:rPr>
            </w:pPr>
            <w:r>
              <w:rPr>
                <w:rFonts w:ascii="Arial" w:cs="Arial" w:eastAsia="Arial" w:hAnsi="Arial"/>
                <w:sz w:val="18"/>
                <w:szCs w:val="18"/>
                <w:color w:val="auto"/>
              </w:rPr>
              <w:t>Accrued clinical expenses</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accrued expenses</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29"/>
        </w:trPr>
        <w:tc>
          <w:tcPr>
            <w:tcW w:w="67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10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1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(33,344)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(25,218)</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property and equipment</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Proceeds from sale of property and equipment</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marketable securities</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(49,213)</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(44,242)</w:t>
            </w:r>
          </w:p>
        </w:tc>
        <w:tc>
          <w:tcPr>
            <w:tcW w:w="0" w:type="dxa"/>
            <w:vAlign w:val="bottom"/>
          </w:tcPr>
          <w:p>
            <w:pPr>
              <w:spacing w:after="0"/>
              <w:rPr>
                <w:sz w:val="1"/>
                <w:szCs w:val="1"/>
                <w:color w:val="auto"/>
              </w:rPr>
            </w:pPr>
          </w:p>
        </w:tc>
      </w:tr>
      <w:tr>
        <w:trPr>
          <w:trHeight w:val="229"/>
        </w:trPr>
        <w:tc>
          <w:tcPr>
            <w:tcW w:w="6720" w:type="dxa"/>
            <w:vAlign w:val="bottom"/>
          </w:tcPr>
          <w:p>
            <w:pPr>
              <w:ind w:left="500"/>
              <w:spacing w:after="0"/>
              <w:rPr>
                <w:sz w:val="20"/>
                <w:szCs w:val="20"/>
                <w:color w:val="auto"/>
              </w:rPr>
            </w:pPr>
            <w:r>
              <w:rPr>
                <w:rFonts w:ascii="Arial" w:cs="Arial" w:eastAsia="Arial" w:hAnsi="Arial"/>
                <w:sz w:val="18"/>
                <w:szCs w:val="18"/>
                <w:color w:val="auto"/>
              </w:rPr>
              <w:t>Proceeds from maturities of marketable securities</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66,450</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sale of marketable securities</w:t>
            </w:r>
          </w:p>
        </w:tc>
        <w:tc>
          <w:tcPr>
            <w:tcW w:w="10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18,016</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20,693</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the exercise of stock options</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Proceeds from sale of common stock, net of issuance costs</w:t>
            </w:r>
          </w:p>
        </w:tc>
        <w:tc>
          <w:tcPr>
            <w:tcW w:w="10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34,137</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34,137</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18,809</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59,444</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46,732</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0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78,253</w:t>
            </w: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42,326</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1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arising from obtaining ROU assets</w:t>
            </w:r>
          </w:p>
        </w:tc>
        <w:tc>
          <w:tcPr>
            <w:tcW w:w="198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Remeasurement of lease liabilities arising from modification of ROU assets</w:t>
            </w:r>
          </w:p>
        </w:tc>
        <w:tc>
          <w:tcPr>
            <w:tcW w:w="19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(788)</w:t>
            </w:r>
          </w:p>
        </w:tc>
        <w:tc>
          <w:tcPr>
            <w:tcW w:w="180" w:type="dxa"/>
            <w:vAlign w:val="bottom"/>
          </w:tcPr>
          <w:p>
            <w:pPr>
              <w:spacing w:after="0"/>
              <w:rPr>
                <w:sz w:val="20"/>
                <w:szCs w:val="20"/>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34,026,680</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742,387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(501,573)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240,578</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w w:val="97"/>
              </w:rPr>
              <w:t>Issuance of common stock under at-the-market (ATM) equity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offering program, net of issuance costs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5,991,858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34,131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34,137</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w w:val="93"/>
              </w:rPr>
              <w:t>Issuance of shares of common stock for settlement of restricted</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 units (RSUs)</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86,146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Unrealized loss on marketable debt securities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(27,200)</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2021</w:t>
            </w:r>
          </w:p>
        </w:tc>
        <w:tc>
          <w:tcPr>
            <w:tcW w:w="10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40,104,684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776,248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(528,773)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247,244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60" w:type="dxa"/>
            <w:vAlign w:val="bottom"/>
          </w:tcPr>
          <w:p>
            <w:pPr>
              <w:spacing w:after="0"/>
              <w:rPr>
                <w:sz w:val="24"/>
                <w:szCs w:val="24"/>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32,558,307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712,807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(439,421)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273,217</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16,834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w w:val="99"/>
              </w:rPr>
              <w:t>Issuance of shares of common stock for settlement of RSUs</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49,584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Unrealized gain on marketable securities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4,972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(26,655)</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2020</w:t>
            </w:r>
          </w:p>
        </w:tc>
        <w:tc>
          <w:tcPr>
            <w:tcW w:w="10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32,624,725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717,898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(466,076)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251,768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Assembly Biosciences, Inc. (together with its subsidiaries, Assembly or the Company), incorporated in Delaware in October 2005, is a clinical-stage biotechnology company advancing a novel class of oral therapeutic candidates for the treatment of chronic hepatitis B virus (HBV) infection. The Company operates in one segment and is headquartered in South San Francisco, California, with operations in California and China. Prior to the Company’s wind-down of its Microbiome program on January 31, 2021, the Company also had operations in Connecticut.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research and development programs are pursuing multiple drug candidates that inhibit the HBV replication cycle and block the generation of covalently closed circular DNA (cccDNA), with the aim of discovering and developing finite and curative therapies for patients with HBV. Assembly has discovered several novel core inhibitors, which are small molecules that directly target and allosterically modify the HBV core (HBc) protein in a way that affects assembly and stability of HBV nucleocapsids.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proceeds from the exercise of warrants and stock options,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these unaudited condensed consolidated interim financial statements are issued. If the Company cannot generate significant cash from its operations, it intends to obtain any additional funding it requires through strategic relationships, public or private equity or debt financings, grants or other arrangements (see Note 6 for recent sales of common stock). The Company cannot assure such funding will be available on reasonable terms, if at all. Market volatility resulting from the global novel coronavirus disease (COVID-19) pandemic or other factors could also adversely impact the Company’s ability to access capital when and as needed.</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generate enough revenue from its collaborations, secure additional sources of funding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right="4040"/>
        <w:spacing w:after="0" w:line="464" w:lineRule="auto"/>
        <w:rPr>
          <w:sz w:val="20"/>
          <w:szCs w:val="20"/>
          <w:color w:val="auto"/>
        </w:rPr>
      </w:pPr>
      <w:r>
        <w:rPr>
          <w:rFonts w:ascii="Arial" w:cs="Arial" w:eastAsia="Arial" w:hAnsi="Arial"/>
          <w:sz w:val="18"/>
          <w:szCs w:val="18"/>
          <w:b w:val="1"/>
          <w:bCs w:val="1"/>
          <w:color w:val="auto"/>
        </w:rPr>
        <w:t>Note 2 - Summary of Significant Accounting Policies and Recent Accounting Pronouncements Basis of Presentation</w:t>
      </w:r>
    </w:p>
    <w:p>
      <w:pPr>
        <w:jc w:val="both"/>
        <w:ind w:right="20"/>
        <w:spacing w:after="0" w:line="277" w:lineRule="auto"/>
        <w:rPr>
          <w:sz w:val="20"/>
          <w:szCs w:val="20"/>
          <w:color w:val="auto"/>
        </w:rPr>
      </w:pPr>
      <w:r>
        <w:rPr>
          <w:rFonts w:ascii="Arial" w:cs="Arial" w:eastAsia="Arial" w:hAnsi="Arial"/>
          <w:sz w:val="18"/>
          <w:szCs w:val="18"/>
          <w:color w:val="auto"/>
        </w:rPr>
        <w:t>The accompanying unaudited interim condensed consolidated financial statements include the accounts of the Company and its subsidiaries. All intercompany balances and transactions have been eliminated in consolidation.</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interim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2020, which are contained in the 2020 Annual Report. The results for the three months ended March 31, 2021 are not necessarily indicative of results to be expected for the entire year ending December 31, 2021 or future operating periods.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Estimates inherent in the preparation of the accompanying unaudited condensed consolidated financial statements include estimates for the cost-based input of revenue recognition and standalone selling price estimates for allocation of transaction price to performance obligations, revenue recognition, estimates of costs incurred but not yet invoiced for clinical trial accruals, recoverability and useful lives of our long-lived assets, the estimated fair value of our indefinite-lived intangible assets, the estimated fair value of our reporting unit for purposes of evaluating goodwill impairment, provisions for income taxes, amounts receivable under collaboration agreements, measurement of operating lease liabilities, and the fair value of stock options, stock appreciation rights, and restricted stock units (RSUs) granted to employees, directors, and consultants.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2020, the World Health Organization declared the COVID-19 outbreak a pandemic. To date, the Company’s operations have not been significantly impacted by the COVID-19 pandemic. However, the Company cannot at this time predict the specific extent, duration, or full impact the COVID-19 pandemic will have on its business, operations, strategy, prospects and financial condition and results. The impact of the COVID-19 pandemic on the Company’s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If the financial markets and/or the overall economy are impacted for an extended period, the Company’s results may be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2021, the American Rescue Plan (H.R. 1319) was signed into law. This legislation extends and enhances a number of current-law tax incentives for businesses, but also expands the definition of a “covered employee” as defined by Section 162(m)(1) of the Internal Revenue Code. The corporate tax provisions included within the bill are not expected to have a material impact on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Company sold 6,287,878 shares of common stock as well as pre-funded warrants to purchase up to 2,424,242 shares of common stock. The pre-funded warrants are exercisable for shares of common stock at an exercise price of $0.001 per share. The shares of common stock into which the pre-funded warrants may be exercised are considered outstanding for the purposes of computing earnings per share because the shares may be issued for little or no consideration, they are fully vested, and are exercisable after the original issuance date.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numerators and the denominators of the basic and diluted net loss per common share computations is as follows (in thousands, except per share amounts):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65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3"/>
                <w:szCs w:val="13"/>
                <w:b w:val="1"/>
                <w:bCs w:val="1"/>
                <w:color w:val="auto"/>
              </w:rPr>
              <w:t>Three Months Ended March 31,</w:t>
            </w:r>
          </w:p>
        </w:tc>
      </w:tr>
      <w:tr>
        <w:trPr>
          <w:trHeight w:val="142"/>
        </w:trPr>
        <w:tc>
          <w:tcPr>
            <w:tcW w:w="656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81"/>
              <w:spacing w:after="0" w:line="142"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97"/>
              <w:spacing w:after="0" w:line="142" w:lineRule="exact"/>
              <w:rPr>
                <w:sz w:val="20"/>
                <w:szCs w:val="20"/>
                <w:color w:val="auto"/>
              </w:rPr>
            </w:pPr>
            <w:r>
              <w:rPr>
                <w:rFonts w:ascii="Arial" w:cs="Arial" w:eastAsia="Arial" w:hAnsi="Arial"/>
                <w:sz w:val="13"/>
                <w:szCs w:val="13"/>
                <w:b w:val="1"/>
                <w:bCs w:val="1"/>
                <w:color w:val="auto"/>
              </w:rPr>
              <w:t>2020</w:t>
            </w: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70"/>
        </w:trPr>
        <w:tc>
          <w:tcPr>
            <w:tcW w:w="6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(27,200)</w:t>
            </w:r>
          </w:p>
        </w:tc>
        <w:tc>
          <w:tcPr>
            <w:tcW w:w="16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(26,655)</w:t>
            </w: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5"/>
        </w:trPr>
        <w:tc>
          <w:tcPr>
            <w:tcW w:w="6560" w:type="dxa"/>
            <w:vAlign w:val="bottom"/>
          </w:tcPr>
          <w:p>
            <w:pPr>
              <w:ind w:left="240"/>
              <w:spacing w:after="0"/>
              <w:rPr>
                <w:sz w:val="20"/>
                <w:szCs w:val="20"/>
                <w:color w:val="auto"/>
              </w:rPr>
            </w:pPr>
            <w:r>
              <w:rPr>
                <w:rFonts w:ascii="Arial" w:cs="Arial" w:eastAsia="Arial" w:hAnsi="Arial"/>
                <w:sz w:val="18"/>
                <w:szCs w:val="18"/>
                <w:color w:val="auto"/>
              </w:rPr>
              <w:t>Weighted average common shares and</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60" w:type="dxa"/>
            <w:vAlign w:val="bottom"/>
          </w:tcPr>
          <w:p>
            <w:pPr>
              <w:ind w:left="380"/>
              <w:spacing w:after="0"/>
              <w:rPr>
                <w:sz w:val="20"/>
                <w:szCs w:val="20"/>
                <w:color w:val="auto"/>
              </w:rPr>
            </w:pPr>
            <w:r>
              <w:rPr>
                <w:rFonts w:ascii="Arial" w:cs="Arial" w:eastAsia="Arial" w:hAnsi="Arial"/>
                <w:sz w:val="18"/>
                <w:szCs w:val="18"/>
                <w:color w:val="auto"/>
              </w:rPr>
              <w:t>pre-funded warrants outstanding -</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70"/>
        </w:trPr>
        <w:tc>
          <w:tcPr>
            <w:tcW w:w="65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basic and diluted</w:t>
            </w: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39,679,734</w:t>
            </w:r>
          </w:p>
        </w:tc>
        <w:tc>
          <w:tcPr>
            <w:tcW w:w="16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35,079,756</w:t>
            </w: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Securities excluded from the computation of diluted loss per share because including them would have been antidilutive are as follows:</w:t>
      </w:r>
    </w:p>
    <w:p>
      <w:pPr>
        <w:spacing w:after="0" w:line="343"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6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tcBorders>
              <w:bottom w:val="single" w:sz="8" w:color="auto"/>
            </w:tcBorders>
            <w:gridSpan w:val="3"/>
          </w:tcPr>
          <w:p>
            <w:pPr>
              <w:ind w:left="1420"/>
              <w:spacing w:after="0"/>
              <w:rPr>
                <w:sz w:val="20"/>
                <w:szCs w:val="20"/>
                <w:color w:val="auto"/>
              </w:rPr>
            </w:pPr>
            <w:r>
              <w:rPr>
                <w:rFonts w:ascii="Arial" w:cs="Arial" w:eastAsia="Arial" w:hAnsi="Arial"/>
                <w:sz w:val="13"/>
                <w:szCs w:val="13"/>
                <w:b w:val="1"/>
                <w:bCs w:val="1"/>
                <w:color w:val="auto"/>
              </w:rPr>
              <w:t>March 31,</w:t>
            </w:r>
          </w:p>
        </w:tc>
        <w:tc>
          <w:tcPr>
            <w:tcW w:w="1280" w:type="dxa"/>
            <w:vAlign w:val="bottom"/>
            <w:tcBorders>
              <w:bottom w:val="single" w:sz="8" w:color="auto"/>
            </w:tcBorders>
          </w:tcPr>
          <w:p>
            <w:pPr>
              <w:spacing w:after="0"/>
              <w:rPr>
                <w:sz w:val="13"/>
                <w:szCs w:val="13"/>
                <w:color w:val="auto"/>
              </w:rPr>
            </w:pPr>
          </w:p>
        </w:tc>
      </w:tr>
      <w:tr>
        <w:trPr>
          <w:trHeight w:val="142"/>
        </w:trPr>
        <w:tc>
          <w:tcPr>
            <w:tcW w:w="6440" w:type="dxa"/>
            <w:vAlign w:val="bottom"/>
            <w:tcBorders>
              <w:bottom w:val="single" w:sz="8" w:color="CEF1FE"/>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680" w:type="dxa"/>
            <w:vAlign w:val="bottom"/>
            <w:tcBorders>
              <w:bottom w:val="single" w:sz="8" w:color="auto"/>
            </w:tcBorders>
          </w:tcPr>
          <w:p>
            <w:pPr>
              <w:jc w:val="right"/>
              <w:ind w:right="684"/>
              <w:spacing w:after="0" w:line="142"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95"/>
              <w:spacing w:after="0" w:line="142" w:lineRule="exact"/>
              <w:rPr>
                <w:sz w:val="20"/>
                <w:szCs w:val="20"/>
                <w:color w:val="auto"/>
              </w:rPr>
            </w:pPr>
            <w:r>
              <w:rPr>
                <w:rFonts w:ascii="Arial" w:cs="Arial" w:eastAsia="Arial" w:hAnsi="Arial"/>
                <w:sz w:val="13"/>
                <w:szCs w:val="13"/>
                <w:b w:val="1"/>
                <w:bCs w:val="1"/>
                <w:color w:val="auto"/>
              </w:rPr>
              <w:t>2020</w:t>
            </w:r>
          </w:p>
        </w:tc>
      </w:tr>
      <w:tr>
        <w:trPr>
          <w:trHeight w:val="223"/>
        </w:trPr>
        <w:tc>
          <w:tcPr>
            <w:tcW w:w="6440" w:type="dxa"/>
            <w:vAlign w:val="bottom"/>
            <w:shd w:val="clear" w:color="auto" w:fill="CEF1FE"/>
          </w:tcPr>
          <w:p>
            <w:pPr>
              <w:spacing w:after="0"/>
              <w:rPr>
                <w:sz w:val="20"/>
                <w:szCs w:val="20"/>
                <w:color w:val="auto"/>
              </w:rPr>
            </w:pPr>
            <w:r>
              <w:rPr>
                <w:rFonts w:ascii="Arial" w:cs="Arial" w:eastAsia="Arial" w:hAnsi="Arial"/>
                <w:sz w:val="18"/>
                <w:szCs w:val="18"/>
                <w:color w:val="auto"/>
              </w:rPr>
              <w:t>Warrants to purchase common stock</w:t>
            </w:r>
          </w:p>
        </w:tc>
        <w:tc>
          <w:tcPr>
            <w:tcW w:w="14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15,296</w:t>
            </w: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820" w:type="dxa"/>
            <w:vAlign w:val="bottom"/>
            <w:gridSpan w:val="2"/>
          </w:tcPr>
          <w:p>
            <w:pPr>
              <w:jc w:val="right"/>
              <w:ind w:right="44"/>
              <w:spacing w:after="0"/>
              <w:rPr>
                <w:sz w:val="20"/>
                <w:szCs w:val="20"/>
                <w:color w:val="auto"/>
              </w:rPr>
            </w:pPr>
            <w:r>
              <w:rPr>
                <w:rFonts w:ascii="Arial" w:cs="Arial" w:eastAsia="Arial" w:hAnsi="Arial"/>
                <w:sz w:val="18"/>
                <w:szCs w:val="18"/>
                <w:color w:val="auto"/>
              </w:rPr>
              <w:t>7,382,515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6,370,396</w:t>
            </w:r>
          </w:p>
        </w:tc>
      </w:tr>
      <w:tr>
        <w:trPr>
          <w:trHeight w:val="230"/>
        </w:trPr>
        <w:tc>
          <w:tcPr>
            <w:tcW w:w="6440" w:type="dxa"/>
            <w:vAlign w:val="bottom"/>
            <w:shd w:val="clear" w:color="auto" w:fill="CEF1FE"/>
          </w:tcPr>
          <w:p>
            <w:pPr>
              <w:spacing w:after="0"/>
              <w:rPr>
                <w:sz w:val="20"/>
                <w:szCs w:val="20"/>
                <w:color w:val="auto"/>
              </w:rPr>
            </w:pPr>
            <w:r>
              <w:rPr>
                <w:rFonts w:ascii="Arial" w:cs="Arial" w:eastAsia="Arial" w:hAnsi="Arial"/>
                <w:sz w:val="18"/>
                <w:szCs w:val="18"/>
                <w:color w:val="auto"/>
              </w:rPr>
              <w:t>Common stock subject to purchase under our ESPP</w:t>
            </w:r>
          </w:p>
        </w:tc>
        <w:tc>
          <w:tcPr>
            <w:tcW w:w="1820" w:type="dxa"/>
            <w:vAlign w:val="bottom"/>
            <w:gridSpan w:val="2"/>
            <w:shd w:val="clear" w:color="auto" w:fill="CFF0FC"/>
          </w:tcPr>
          <w:p>
            <w:pPr>
              <w:jc w:val="right"/>
              <w:ind w:right="44"/>
              <w:spacing w:after="0"/>
              <w:rPr>
                <w:sz w:val="20"/>
                <w:szCs w:val="20"/>
                <w:color w:val="auto"/>
              </w:rPr>
            </w:pPr>
            <w:r>
              <w:rPr>
                <w:rFonts w:ascii="Arial" w:cs="Arial" w:eastAsia="Arial" w:hAnsi="Arial"/>
                <w:sz w:val="18"/>
                <w:szCs w:val="18"/>
                <w:color w:val="auto"/>
              </w:rPr>
              <w:t>44,870</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32,940</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Unvested RSUs</w:t>
            </w:r>
          </w:p>
        </w:tc>
        <w:tc>
          <w:tcPr>
            <w:tcW w:w="1820" w:type="dxa"/>
            <w:vAlign w:val="bottom"/>
            <w:gridSpan w:val="2"/>
          </w:tcPr>
          <w:p>
            <w:pPr>
              <w:jc w:val="right"/>
              <w:ind w:right="44"/>
              <w:spacing w:after="0"/>
              <w:rPr>
                <w:sz w:val="20"/>
                <w:szCs w:val="20"/>
                <w:color w:val="auto"/>
              </w:rPr>
            </w:pPr>
            <w:r>
              <w:rPr>
                <w:rFonts w:ascii="Arial" w:cs="Arial" w:eastAsia="Arial" w:hAnsi="Arial"/>
                <w:sz w:val="18"/>
                <w:szCs w:val="18"/>
                <w:color w:val="auto"/>
              </w:rPr>
              <w:t>666,574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999,926</w:t>
            </w:r>
          </w:p>
        </w:tc>
      </w:tr>
      <w:tr>
        <w:trPr>
          <w:trHeight w:val="223"/>
        </w:trPr>
        <w:tc>
          <w:tcPr>
            <w:tcW w:w="6440" w:type="dxa"/>
            <w:vAlign w:val="bottom"/>
            <w:tcBorders>
              <w:top w:val="single" w:sz="8" w:color="CEF1FE"/>
              <w:bottom w:val="single" w:sz="8" w:color="CEF1FE"/>
            </w:tcBorders>
            <w:shd w:val="clear" w:color="auto" w:fill="CEF1FE"/>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8,093,959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7,418,558</w:t>
            </w:r>
          </w:p>
        </w:tc>
      </w:tr>
      <w:tr>
        <w:trPr>
          <w:trHeight w:val="20"/>
        </w:trPr>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January 1, 2021, the Company adopted ASU 2020-10, </w:t>
      </w:r>
      <w:r>
        <w:rPr>
          <w:rFonts w:ascii="Arial" w:cs="Arial" w:eastAsia="Arial" w:hAnsi="Arial"/>
          <w:sz w:val="17"/>
          <w:szCs w:val="17"/>
          <w:i w:val="1"/>
          <w:iCs w:val="1"/>
          <w:color w:val="auto"/>
        </w:rPr>
        <w:t>Codification Improvements – Disclosures</w:t>
      </w:r>
      <w:r>
        <w:rPr>
          <w:rFonts w:ascii="Arial" w:cs="Arial" w:eastAsia="Arial" w:hAnsi="Arial"/>
          <w:sz w:val="17"/>
          <w:szCs w:val="17"/>
          <w:color w:val="auto"/>
        </w:rPr>
        <w:t>. This ASU improves consistency by amending the codification to include all disclosure guidance in the appropriate disclosure sections and clarifies application of various provisions in the Codification by amending and adding new headings, cross referencing to other accounting standards and refining or correcting termination. The adoption of this standard had no material impact on the Company’s condensed consolidated financial statements and related disclosures.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June 2016, the Financial Accounting Standards Board (the FASB) issued ASU 2016-13, </w:t>
      </w:r>
      <w:r>
        <w:rPr>
          <w:rFonts w:ascii="Arial" w:cs="Arial" w:eastAsia="Arial" w:hAnsi="Arial"/>
          <w:sz w:val="16"/>
          <w:szCs w:val="16"/>
          <w:i w:val="1"/>
          <w:iCs w:val="1"/>
          <w:color w:val="auto"/>
        </w:rPr>
        <w:t>Financial Instruments – Credit Losses: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on Financial Instruments </w:t>
      </w:r>
      <w:r>
        <w:rPr>
          <w:rFonts w:ascii="Arial" w:cs="Arial" w:eastAsia="Arial" w:hAnsi="Arial"/>
          <w:sz w:val="16"/>
          <w:szCs w:val="16"/>
          <w:color w:val="auto"/>
        </w:rPr>
        <w:t>(ASU 2016-13), which requires that expected credit losses relating to financial assets measured on an amortized cost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In April, May and November 2019, the FASB issued additional amendments to the new guidance related to transition and clarification. In November 2019, the FASB issued ASU 2019-10, </w:t>
      </w:r>
      <w:r>
        <w:rPr>
          <w:rFonts w:ascii="Arial" w:cs="Arial" w:eastAsia="Arial" w:hAnsi="Arial"/>
          <w:sz w:val="16"/>
          <w:szCs w:val="16"/>
          <w:i w:val="1"/>
          <w:iCs w:val="1"/>
          <w:color w:val="auto"/>
        </w:rPr>
        <w:t>Financial Instruments – Credit Losses (Topic 326), Derivatives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and Hedging (Topic 815), and Leases (Topic 842): Effective Dates</w:t>
      </w:r>
      <w:r>
        <w:rPr>
          <w:rFonts w:ascii="Arial" w:cs="Arial" w:eastAsia="Arial" w:hAnsi="Arial"/>
          <w:sz w:val="18"/>
          <w:szCs w:val="18"/>
          <w:color w:val="auto"/>
        </w:rPr>
        <w:t>, which deferred the effective date of this standard for all entities except SEC filers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smaller reporting companies to fiscal years beginning after December 15, 2022, including interim periods within those fiscal years. Early adoption is permitted. The Company is currently evaluating the timing and impact of adopting this new accounting standard on its condensed consolidated financial statements and related disclosures.</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which simplifies the accounting for certain financial instruments with characteristics of liabilities and equity, including convertible instruments and contracts on an entity’s own equity. Specifically, ASU 2020-06 simplifies accounting for convertible instruments by removing major separation models in ASC 470-20 that require separate accounting for embedded conversion features. The ASU also removes certain settlement conditions in ASC 815-40 that are required for equity contracts to qualify for the derivative scope exception, which will permit more equity contracts to qualify for the scope exception and simplifies the diluted earnings per share (EPS) calculation in certain areas. The ASU is effective for interim and annual periods beginning after December 15, 2021, with early adoption permitted. Adoption of the ASU can either be on a modified retrospective or full retrospective basis. The Company is currently evaluating the impacts of ASU 2020-06 on its condensed consolidated financial statements and related disclosures.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 and Investments in Marketable Securities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accrued expenses, lease liability-short term and deferred revenue-short term.</w:t>
      </w:r>
    </w:p>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the following three-level hierarchy that maximizes the use of observable inputs and minimizes the use of unobservable inputs to value its financial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11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2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Gain</w:t>
            </w: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66,494</w:t>
            </w: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66,494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66,494</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66,494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Short-term investments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U.S. and foreign corporate debt securities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22,954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22,948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16,762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16,762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96,921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96,921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investments</w:t>
            </w:r>
          </w:p>
        </w:tc>
        <w:tc>
          <w:tcPr>
            <w:tcW w:w="9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136,637</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136,631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 and investments</w:t>
            </w:r>
          </w:p>
        </w:tc>
        <w:tc>
          <w:tcPr>
            <w:tcW w:w="9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203,131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203,125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121"/>
              <w:spacing w:after="0" w:line="13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96"/>
              </w:rPr>
              <w:t xml:space="preserve">Gain </w:t>
            </w:r>
            <w:r>
              <w:rPr>
                <w:rFonts w:ascii="Arial" w:cs="Arial" w:eastAsia="Arial" w:hAnsi="Arial"/>
                <w:sz w:val="12"/>
                <w:szCs w:val="12"/>
                <w:b w:val="1"/>
                <w:bCs w:val="1"/>
                <w:color w:val="auto"/>
                <w:w w:val="96"/>
              </w:rPr>
              <w:t>(1)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left="141"/>
              <w:spacing w:after="0"/>
              <w:rPr>
                <w:sz w:val="20"/>
                <w:szCs w:val="20"/>
                <w:color w:val="auto"/>
              </w:rPr>
            </w:pPr>
            <w:r>
              <w:rPr>
                <w:rFonts w:ascii="Arial" w:cs="Arial" w:eastAsia="Arial" w:hAnsi="Arial"/>
                <w:sz w:val="14"/>
                <w:szCs w:val="14"/>
                <w:b w:val="1"/>
                <w:bCs w:val="1"/>
                <w:color w:val="auto"/>
                <w:w w:val="89"/>
              </w:rPr>
              <w:t xml:space="preserve">Loss </w:t>
            </w:r>
            <w:r>
              <w:rPr>
                <w:rFonts w:ascii="Arial" w:cs="Arial" w:eastAsia="Arial" w:hAnsi="Arial"/>
                <w:sz w:val="12"/>
                <w:szCs w:val="12"/>
                <w:b w:val="1"/>
                <w:bCs w:val="1"/>
                <w:color w:val="auto"/>
                <w:w w:val="89"/>
              </w:rPr>
              <w:t>(1)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9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47,553</w:t>
            </w:r>
          </w:p>
        </w:tc>
        <w:tc>
          <w:tcPr>
            <w:tcW w:w="120" w:type="dxa"/>
            <w:vAlign w:val="bottom"/>
          </w:tcPr>
          <w:p>
            <w:pPr>
              <w:spacing w:after="0"/>
              <w:rPr>
                <w:sz w:val="19"/>
                <w:szCs w:val="19"/>
                <w:color w:val="auto"/>
              </w:rPr>
            </w:pP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41"/>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47,553</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6,498</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54,051</w:t>
            </w:r>
          </w:p>
        </w:tc>
        <w:tc>
          <w:tcPr>
            <w:tcW w:w="1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54,051</w:t>
            </w: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16,939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16,939</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Asset-backed securities</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12,674</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12,675</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23,997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23,999</w:t>
            </w: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103,356</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103,356</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investments</w:t>
            </w:r>
          </w:p>
        </w:tc>
        <w:tc>
          <w:tcPr>
            <w:tcW w:w="8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156,966</w:t>
            </w:r>
          </w:p>
        </w:tc>
        <w:tc>
          <w:tcPr>
            <w:tcW w:w="1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156,969</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 and investments</w:t>
            </w:r>
          </w:p>
        </w:tc>
        <w:tc>
          <w:tcPr>
            <w:tcW w:w="8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211,017</w:t>
            </w: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211,020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contractual term to maturity of short-term marketable securities held by the Company as of March 31, 2021 is less than one year. There were no long-term marketable securities held by the Company as of March 31, 2021.</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Realized gains and losses for the three months ended March 31, 2021 and 2020 were not significant. None of the Company’s investments have been in a continuous unrealized loss position for more than 12 months as of March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Company’s financial assets measured at fair value on a recurring basis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March 31, 2021</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1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66,494</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66,494</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66,494</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66,494</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Short-term investments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22,948</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22,948</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16,762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16,762</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96,921</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96,921</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investments</w:t>
            </w:r>
          </w:p>
        </w:tc>
        <w:tc>
          <w:tcPr>
            <w:tcW w:w="8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136,631</w:t>
            </w:r>
          </w:p>
        </w:tc>
        <w:tc>
          <w:tcPr>
            <w:tcW w:w="10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136,631</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measured at fair value</w:t>
            </w:r>
          </w:p>
        </w:tc>
        <w:tc>
          <w:tcPr>
            <w:tcW w:w="8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66,494</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136,631</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203,125</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812"/>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56"/>
        </w:trPr>
        <w:tc>
          <w:tcPr>
            <w:tcW w:w="4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1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Fair Value</w:t>
            </w: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10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47,553</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47,553</w:t>
            </w:r>
          </w:p>
        </w:tc>
      </w:tr>
      <w:tr>
        <w:trPr>
          <w:trHeight w:val="229"/>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6,498</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6,498</w:t>
            </w:r>
          </w:p>
        </w:tc>
      </w:tr>
      <w:tr>
        <w:trPr>
          <w:trHeight w:val="22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47,553</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6,498</w:t>
            </w:r>
          </w:p>
        </w:tc>
        <w:tc>
          <w:tcPr>
            <w:tcW w:w="10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54,051</w:t>
            </w: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16,939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16,939</w:t>
            </w:r>
          </w:p>
        </w:tc>
      </w:tr>
      <w:tr>
        <w:trPr>
          <w:trHeight w:val="229"/>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Asset-backed securities</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12,675</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12,675</w:t>
            </w: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23,999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23,999</w:t>
            </w: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103,356</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103,356</w:t>
            </w:r>
          </w:p>
        </w:tc>
      </w:tr>
      <w:tr>
        <w:trPr>
          <w:trHeight w:val="22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investments</w:t>
            </w:r>
          </w:p>
        </w:tc>
        <w:tc>
          <w:tcPr>
            <w:tcW w:w="8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156,969</w:t>
            </w:r>
          </w:p>
        </w:tc>
        <w:tc>
          <w:tcPr>
            <w:tcW w:w="10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156,969</w:t>
            </w: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measured at fair value</w:t>
            </w:r>
          </w:p>
        </w:tc>
        <w:tc>
          <w:tcPr>
            <w:tcW w:w="8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47,553</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163,467</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211,020</w:t>
            </w:r>
          </w:p>
        </w:tc>
      </w:tr>
      <w:tr>
        <w:trPr>
          <w:trHeight w:val="20"/>
        </w:trPr>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Other Accrued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6"/>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10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7,016</w:t>
            </w:r>
          </w:p>
        </w:tc>
      </w:tr>
      <w:tr>
        <w:trPr>
          <w:trHeight w:val="22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restructuring charges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4,164</w:t>
            </w:r>
          </w:p>
        </w:tc>
      </w:tr>
      <w:tr>
        <w:trPr>
          <w:trHeight w:val="230"/>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professional fees and other</w:t>
            </w:r>
          </w:p>
        </w:tc>
        <w:tc>
          <w:tcPr>
            <w:tcW w:w="1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807</w:t>
            </w: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11,987</w:t>
            </w:r>
          </w:p>
        </w:tc>
      </w:tr>
      <w:tr>
        <w:trPr>
          <w:trHeight w:val="20"/>
        </w:trPr>
        <w:tc>
          <w:tcPr>
            <w:tcW w:w="4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Restructurings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Restructuring charges relate to the Company’s decision to relocate its headquarters to South San Francisco, California, which was approved by the Board of Directors in November 2019 and effective January 1, 2020 and the wind-down of the Company’s Microbiome program, which the Company and its Board of Directors determined in December 2020 was in the Company’s best interest, enabling the Company to prioritize resources and focus on the advancement of its pipeline of novel core inhibitors for chronic HBV infection.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estimates of costs to be incurred and expected to be incurred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Employee</w:t>
            </w:r>
          </w:p>
        </w:tc>
        <w:tc>
          <w:tcPr>
            <w:tcW w:w="180" w:type="dxa"/>
            <w:vAlign w:val="bottom"/>
          </w:tcPr>
          <w:p>
            <w:pPr>
              <w:spacing w:after="0"/>
              <w:rPr>
                <w:sz w:val="18"/>
                <w:szCs w:val="18"/>
                <w:color w:val="auto"/>
              </w:rPr>
            </w:pPr>
          </w:p>
        </w:tc>
        <w:tc>
          <w:tcPr>
            <w:tcW w:w="1420" w:type="dxa"/>
            <w:vAlign w:val="bottom"/>
          </w:tcPr>
          <w:p>
            <w:pPr>
              <w:jc w:val="center"/>
              <w:ind w:right="210"/>
              <w:spacing w:after="0"/>
              <w:rPr>
                <w:sz w:val="20"/>
                <w:szCs w:val="20"/>
                <w:color w:val="auto"/>
              </w:rPr>
            </w:pPr>
            <w:r>
              <w:rPr>
                <w:rFonts w:ascii="Arial" w:cs="Arial" w:eastAsia="Arial" w:hAnsi="Arial"/>
                <w:sz w:val="18"/>
                <w:szCs w:val="18"/>
                <w:b w:val="1"/>
                <w:bCs w:val="1"/>
                <w:color w:val="auto"/>
                <w:w w:val="81"/>
              </w:rPr>
              <w:t>Asset</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42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Impairment</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Restructuring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and Related</w:t>
            </w:r>
          </w:p>
        </w:tc>
        <w:tc>
          <w:tcPr>
            <w:tcW w:w="180" w:type="dxa"/>
            <w:vAlign w:val="bottom"/>
          </w:tcPr>
          <w:p>
            <w:pPr>
              <w:spacing w:after="0"/>
              <w:rPr>
                <w:sz w:val="18"/>
                <w:szCs w:val="18"/>
                <w:color w:val="auto"/>
              </w:rPr>
            </w:pPr>
          </w:p>
        </w:tc>
        <w:tc>
          <w:tcPr>
            <w:tcW w:w="142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and Other</w:t>
            </w: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Benefits</w:t>
            </w:r>
          </w:p>
        </w:tc>
        <w:tc>
          <w:tcPr>
            <w:tcW w:w="180" w:type="dxa"/>
            <w:vAlign w:val="bottom"/>
          </w:tcPr>
          <w:p>
            <w:pPr>
              <w:spacing w:after="0"/>
              <w:rPr>
                <w:sz w:val="20"/>
                <w:szCs w:val="20"/>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83"/>
              </w:rPr>
              <w:t>Costs</w:t>
            </w: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estimated restructuring costs to be incurred</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6,988</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3,798</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Restructuring costs incurred for the three months ended March 31, 2021</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(1,052)</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color w:val="auto"/>
              </w:rPr>
              <w:t xml:space="preserve">(2,663) </w:t>
            </w:r>
            <w:r>
              <w:rPr>
                <w:rFonts w:ascii="Arial" w:cs="Arial" w:eastAsia="Arial" w:hAnsi="Arial"/>
                <w:sz w:val="24"/>
                <w:szCs w:val="24"/>
                <w:color w:val="auto"/>
                <w:vertAlign w:val="subscript"/>
              </w:rPr>
              <w:t>(1)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ind w:right="3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67"/>
        </w:trPr>
        <w:tc>
          <w:tcPr>
            <w:tcW w:w="62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Cumulative restructuring costs incurred through March 31, 2021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6,726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3,536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40" w:hanging="432"/>
        <w:spacing w:after="0" w:line="259" w:lineRule="auto"/>
        <w:tabs>
          <w:tab w:leader="none" w:pos="44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reversal of $2.7 million in employee severance and related benefits recognized during the three months ended March 31, 2021 reflects the reversal of previously recognized stock-based compensation expense related to forfeited awards based on the Company’s policy of recognizing stock-based awards with graded vesting schedules using an accelerated attribution method on a straight-line basis over the requisite service period for each separately vesting portion of the award and to recognize forfeitures when they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where the restructuring charges were recognized during the three months ended March 31, 2021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40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5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277</w:t>
            </w: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5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w:t>
            </w:r>
          </w:p>
        </w:tc>
      </w:tr>
      <w:tr>
        <w:trPr>
          <w:trHeight w:val="20"/>
        </w:trPr>
        <w:tc>
          <w:tcPr>
            <w:tcW w:w="5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restructuring costs incurred for the three months ended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the accrued restructuring charges during the three months ended March 31,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Employee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81"/>
              </w:rPr>
              <w:t>Asset</w:t>
            </w:r>
          </w:p>
        </w:tc>
      </w:tr>
      <w:tr>
        <w:trPr>
          <w:trHeight w:val="216"/>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Severance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Impairment</w:t>
            </w:r>
          </w:p>
        </w:tc>
      </w:tr>
      <w:tr>
        <w:trPr>
          <w:trHeight w:val="216"/>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Restructuring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and Related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and Other</w:t>
            </w:r>
          </w:p>
        </w:tc>
      </w:tr>
      <w:tr>
        <w:trPr>
          <w:trHeight w:val="234"/>
        </w:trPr>
        <w:tc>
          <w:tcPr>
            <w:tcW w:w="6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Benefits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3"/>
              </w:rPr>
              <w:t>Costs</w:t>
            </w: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balance as of December 31, 2020</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4,164</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4,164</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60"/>
              <w:spacing w:after="0"/>
              <w:rPr>
                <w:sz w:val="20"/>
                <w:szCs w:val="20"/>
                <w:color w:val="auto"/>
              </w:rPr>
            </w:pPr>
            <w:r>
              <w:rPr>
                <w:rFonts w:ascii="Arial" w:cs="Arial" w:eastAsia="Arial" w:hAnsi="Arial"/>
                <w:sz w:val="18"/>
                <w:szCs w:val="18"/>
                <w:color w:val="auto"/>
              </w:rPr>
              <w:t>Costs incurred</w:t>
            </w:r>
          </w:p>
        </w:tc>
        <w:tc>
          <w:tcPr>
            <w:tcW w:w="1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1,611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1,611</w:t>
            </w:r>
          </w:p>
        </w:tc>
      </w:tr>
      <w:tr>
        <w:trPr>
          <w:trHeight w:val="230"/>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Reductions for cash payments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(4,529)</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18"/>
                <w:szCs w:val="18"/>
                <w:color w:val="auto"/>
              </w:rPr>
              <w:t xml:space="preserve">(1,611) </w:t>
            </w:r>
            <w:r>
              <w:rPr>
                <w:rFonts w:ascii="Arial" w:cs="Arial" w:eastAsia="Arial" w:hAnsi="Arial"/>
                <w:sz w:val="24"/>
                <w:szCs w:val="24"/>
                <w:color w:val="auto"/>
                <w:vertAlign w:val="superscript"/>
              </w:rPr>
              <w:t>(1)</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Accrued balance as of March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1,246</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1,246</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440" w:hanging="432"/>
        <w:spacing w:after="0"/>
        <w:tabs>
          <w:tab w:leader="none" w:pos="440" w:val="left"/>
        </w:tabs>
        <w:numPr>
          <w:ilvl w:val="0"/>
          <w:numId w:val="5"/>
        </w:numPr>
        <w:rPr>
          <w:rFonts w:ascii="Arial" w:cs="Arial" w:eastAsia="Arial" w:hAnsi="Arial"/>
          <w:sz w:val="31"/>
          <w:szCs w:val="31"/>
          <w:color w:val="auto"/>
          <w:vertAlign w:val="superscript"/>
        </w:rPr>
      </w:pPr>
      <w:r>
        <w:rPr>
          <w:rFonts w:ascii="Arial" w:cs="Arial" w:eastAsia="Arial" w:hAnsi="Arial"/>
          <w:sz w:val="18"/>
          <w:szCs w:val="18"/>
          <w:color w:val="auto"/>
        </w:rPr>
        <w:t>Cash payments are presented net of proceeds received from the sale of assets of $0.9 million</w:t>
      </w:r>
      <w:r>
        <w:rPr>
          <w:rFonts w:ascii="Arial" w:cs="Arial" w:eastAsia="Arial" w:hAnsi="Arial"/>
          <w:sz w:val="21"/>
          <w:szCs w:val="21"/>
          <w:color w:val="auto"/>
        </w:rPr>
        <w:t>.</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asset impairment and other costs includes $1.4 million for the remaining payment obligations of leased equipment the Company purchased and sold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the accrued restructuring liability to be fully paid in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was authorized to issue 5,000,000 shares of preferred stock as of March 31, 2021 and December 31, 2020, respectively. As of March 31, 2021 and December 31, 2020, no shares of preferred stock were issued and outstanding. The Company was authorized to issue 100,000,000 shares of common stock as of March 31, 2021 and December 31,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2020, the Company filed a shelf registration statement on Form S-3 with the SEC, File No. 333-248469, that became effective on September 4, 2020 (the 2020 Registration Statement). The Company may from time to time sell any combination of the securities described in the 2020 Registration Statement in one or more offerings up to an aggregate offering price of $300.0 million. In connection with the filing of the 2020 Registration Statement, the Company entered into a sales agreement under which the Company may offer and sell shares of its common stock having an aggregate offering price of up to $100.0 million through “at-the-market” offerings (2020 ATM), which shares are included in the $300.0 million of securities registered pursuant to the 2020 Registration Statement. During the three months ended March 31, 2021, the Company sold 5,991,858 shares of common stock under the 2020 ATM, for which the Company received net proceeds of $34.1 million, after deducting commissions, fees and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warrants to purchase shares of the Company’s common stock were issued and outstanding: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Issue date</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Exercise Price</w:t>
            </w:r>
          </w:p>
        </w:tc>
        <w:tc>
          <w:tcPr>
            <w:tcW w:w="264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Number of warrants outstanding</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per Share</w:t>
            </w: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16, 2019</w:t>
            </w:r>
          </w:p>
        </w:tc>
        <w:tc>
          <w:tcPr>
            <w:tcW w:w="220" w:type="dxa"/>
            <w:vAlign w:val="bottom"/>
            <w:tcBorders>
              <w:top w:val="single" w:sz="8" w:color="CFF0FC"/>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None</w:t>
            </w:r>
          </w:p>
        </w:tc>
        <w:tc>
          <w:tcPr>
            <w:tcW w:w="2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0.001</w:t>
            </w:r>
          </w:p>
        </w:tc>
        <w:tc>
          <w:tcPr>
            <w:tcW w:w="220" w:type="dxa"/>
            <w:vAlign w:val="bottom"/>
            <w:tcBorders>
              <w:top w:val="single" w:sz="8" w:color="CFF0FC"/>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2,424,242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warrants exercised during the three months ended March 31, 2021 or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Plans and 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2018, the Company’s stockholders approved (1) the Assembly Biosciences, Inc. 2018 Stock Incentive Plan (the 2018 Plan) pursuant to which the Company reserved 1,900,000 shares of its common stock for issuance in connection with equity incentive awards and (2) the Assembly Biosciences Inc. Employee Stock Purchase Plan (the 2018 ESPP) pursuant to which the Company reserved 400,000 shares of its common stock for issuance in connection with purchases by employees pursuant to this plan.</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May 2019, the Company’s stockholders approved an amendment to the 2018 Plan that increased the aggregate number of shares of common stock reserved under the 2018 Plan to 3,000,000.</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2020, the Company’s stockholders approved an amendment to the 2018 Plan that increased the aggregate number of shares of common stock reserved under the 2018 Plan to 4,600,000.</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March 31, 2021, the Company had awards outstanding under the following shareholder-approved plans: the 2010 Equity Incentive Plan (the 2010 Plan), which has been frozen; the Amended and Restated 2014 Stock Incentive Plan (the 2014 Plan); and the 2018 Plan. Shares of common stock underlying awards that are forfeited under the 2010 Plan on or after June 2, 2016 will become available for issuance under the 2014 Plan. As of March 31, 2021, the Company also had awards outstanding under the Assembly Biosciences, Inc. 2017 Inducement Award Plan (the 2017 Plan), the Assembly Biosciences, Inc. 2019 Inducement Award Plan (the 2019 Plan) and the Assembly Biosciences, Inc. 2020 Inducement Award Plan (the 2020 Plan).</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issues new shares of common stock to settle options exercised and vested RSUs. The Company also issues new shares of common stock in connection with purchases of shares of common stock by eligible employees under the Company’s 2018 ESPP.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 Activity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for the three months ended March 31, 2021 is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0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080" w:type="dxa"/>
            <w:vAlign w:val="bottom"/>
          </w:tcPr>
          <w:p>
            <w:pPr>
              <w:jc w:val="right"/>
              <w:ind w:right="235"/>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Per Share</w:t>
            </w:r>
          </w:p>
        </w:tc>
        <w:tc>
          <w:tcPr>
            <w:tcW w:w="108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62"/>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0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6,696,592</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15.70</w:t>
            </w:r>
          </w:p>
        </w:tc>
        <w:tc>
          <w:tcPr>
            <w:tcW w:w="1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1,112,250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(417,127)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Expired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(9,200)</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18"/>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March 31, 2021</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7,382,515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7.1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Options vested and exercisable as of March 31, 2021</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4,260,738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8"/>
                <w:szCs w:val="18"/>
                <w:color w:val="auto"/>
              </w:rPr>
              <w:t>5.5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weighted-average grant-date fair value of options granted was $3.15 and $9.74 during the three months ended March 31, 2021 and 2020, respectively. The total intrinsic value of options exercised during the three months ended March 31, 2020 was $0.2 million. There were no options exercised during the three months ended March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RSUs and related information for the three months ended March 31, 2021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6"/>
              </w:rPr>
              <w:t>Value Per RSU</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of RSUs</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7"/>
              </w:rPr>
              <w:t>at Grant Price</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Nonvested as of December 31, 2020</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886,868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199,875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(135,929)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(144,240)</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Nonvested as of March 31, 2021</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806,574</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5"/>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20" w:hanging="572"/>
        <w:spacing w:after="0" w:line="277"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140,000 RSUs that have vested but are subject to deferred settlement, which have a weighted average remaining contractual term of 1.9 years.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fair value of RSUs vested and settled during the three months ended March 31, 2021 and 2020 was $2.5 million and $2.4 million, respectively. The total intrinsic value of RSUs vested and settled during the three months ended March 31, 2021 and 2020 was $0.6 million and $1.5 million, respectively.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2019, the Company granted 100,000 RSUs with performance-based vesting conditions to its chief executive officer. On March 31, 2021, 25,000 of these awards were forfeited back to the Company due to the time period to complete one of the performance conditions expiring. The outstanding 75,000 awards with an aggregate fair value of $0.8 million vest upon performance conditions not yet deemed probable. Accordingly, no stock-based compensation expense has been recognized as of March 31,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shares purchased under the 2018 ESPP during the three months ended March 31, 2021 or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the stock options granted or modified during the periods indicated was estimated using the Black-Scholes option pricing model, based on the following assumptions: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47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3"/>
                <w:szCs w:val="13"/>
                <w:b w:val="1"/>
                <w:bCs w:val="1"/>
                <w:color w:val="auto"/>
                <w:w w:val="88"/>
              </w:rPr>
              <w:t>Three Months Ended March 31,</w:t>
            </w:r>
          </w:p>
        </w:tc>
        <w:tc>
          <w:tcPr>
            <w:tcW w:w="1380" w:type="dxa"/>
            <w:vAlign w:val="bottom"/>
            <w:tcBorders>
              <w:bottom w:val="single" w:sz="8" w:color="auto"/>
            </w:tcBorders>
          </w:tcPr>
          <w:p>
            <w:pPr>
              <w:spacing w:after="0"/>
              <w:rPr>
                <w:sz w:val="13"/>
                <w:szCs w:val="13"/>
                <w:color w:val="auto"/>
              </w:rPr>
            </w:pPr>
          </w:p>
        </w:tc>
      </w:tr>
      <w:tr>
        <w:trPr>
          <w:trHeight w:val="142"/>
        </w:trPr>
        <w:tc>
          <w:tcPr>
            <w:tcW w:w="4740" w:type="dxa"/>
            <w:vAlign w:val="bottom"/>
          </w:tcPr>
          <w:p>
            <w:pPr>
              <w:spacing w:after="0"/>
              <w:rPr>
                <w:sz w:val="12"/>
                <w:szCs w:val="12"/>
                <w:color w:val="auto"/>
              </w:rPr>
            </w:pPr>
          </w:p>
        </w:tc>
        <w:tc>
          <w:tcPr>
            <w:tcW w:w="1760" w:type="dxa"/>
            <w:vAlign w:val="bottom"/>
            <w:gridSpan w:val="2"/>
          </w:tcPr>
          <w:p>
            <w:pPr>
              <w:jc w:val="right"/>
              <w:ind w:right="330"/>
              <w:spacing w:after="0" w:line="142" w:lineRule="exact"/>
              <w:rPr>
                <w:sz w:val="20"/>
                <w:szCs w:val="20"/>
                <w:color w:val="auto"/>
              </w:rPr>
            </w:pPr>
            <w:r>
              <w:rPr>
                <w:rFonts w:ascii="Arial" w:cs="Arial" w:eastAsia="Arial" w:hAnsi="Arial"/>
                <w:sz w:val="13"/>
                <w:szCs w:val="13"/>
                <w:b w:val="1"/>
                <w:bCs w:val="1"/>
                <w:color w:val="auto"/>
              </w:rPr>
              <w:t>2021</w:t>
            </w:r>
          </w:p>
        </w:tc>
        <w:tc>
          <w:tcPr>
            <w:tcW w:w="3600" w:type="dxa"/>
            <w:vAlign w:val="bottom"/>
            <w:gridSpan w:val="4"/>
          </w:tcPr>
          <w:p>
            <w:pPr>
              <w:jc w:val="right"/>
              <w:ind w:right="1130"/>
              <w:spacing w:after="0" w:line="142" w:lineRule="exact"/>
              <w:rPr>
                <w:sz w:val="20"/>
                <w:szCs w:val="20"/>
                <w:color w:val="auto"/>
              </w:rPr>
            </w:pPr>
            <w:r>
              <w:rPr>
                <w:rFonts w:ascii="Arial" w:cs="Arial" w:eastAsia="Arial" w:hAnsi="Arial"/>
                <w:sz w:val="13"/>
                <w:szCs w:val="13"/>
                <w:b w:val="1"/>
                <w:bCs w:val="1"/>
                <w:color w:val="auto"/>
              </w:rPr>
              <w:t>2020</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6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 $5.79</w:t>
            </w: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13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$19.13</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right"/>
              <w:spacing w:after="0"/>
              <w:rPr>
                <w:sz w:val="20"/>
                <w:szCs w:val="20"/>
                <w:color w:val="auto"/>
              </w:rPr>
            </w:pPr>
            <w:r>
              <w:rPr>
                <w:rFonts w:ascii="Arial" w:cs="Arial" w:eastAsia="Arial" w:hAnsi="Arial"/>
                <w:sz w:val="18"/>
                <w:szCs w:val="18"/>
                <w:color w:val="auto"/>
              </w:rPr>
              <w:t>81.4%</w:t>
            </w:r>
          </w:p>
        </w:tc>
        <w:tc>
          <w:tcPr>
            <w:tcW w:w="600" w:type="dxa"/>
            <w:vAlign w:val="bottom"/>
          </w:tcPr>
          <w:p>
            <w:pPr>
              <w:ind w:left="20"/>
              <w:spacing w:after="0"/>
              <w:rPr>
                <w:sz w:val="20"/>
                <w:szCs w:val="20"/>
                <w:color w:val="auto"/>
              </w:rPr>
            </w:pPr>
            <w:r>
              <w:rPr>
                <w:rFonts w:ascii="Arial" w:cs="Arial" w:eastAsia="Arial" w:hAnsi="Arial"/>
                <w:sz w:val="18"/>
                <w:szCs w:val="18"/>
                <w:color w:val="auto"/>
                <w:w w:val="90"/>
              </w:rPr>
              <w:t>- 91.2%</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66.4%</w:t>
            </w:r>
          </w:p>
        </w:tc>
        <w:tc>
          <w:tcPr>
            <w:tcW w:w="1380" w:type="dxa"/>
            <w:vAlign w:val="bottom"/>
          </w:tcPr>
          <w:p>
            <w:pPr>
              <w:ind w:left="20"/>
              <w:spacing w:after="0"/>
              <w:rPr>
                <w:sz w:val="20"/>
                <w:szCs w:val="20"/>
                <w:color w:val="auto"/>
              </w:rPr>
            </w:pPr>
            <w:r>
              <w:rPr>
                <w:rFonts w:ascii="Arial" w:cs="Arial" w:eastAsia="Arial" w:hAnsi="Arial"/>
                <w:sz w:val="18"/>
                <w:szCs w:val="18"/>
                <w:color w:val="auto"/>
              </w:rPr>
              <w:t>- 82.2%</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Risk-free rate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6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0"/>
              </w:rPr>
              <w:t>- 1.37%</w:t>
            </w:r>
          </w:p>
        </w:tc>
        <w:tc>
          <w:tcPr>
            <w:tcW w:w="2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- 1.44%</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Expected term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600" w:type="dxa"/>
            <w:vAlign w:val="bottom"/>
          </w:tcPr>
          <w:p>
            <w:pPr>
              <w:ind w:left="20"/>
              <w:spacing w:after="0"/>
              <w:rPr>
                <w:sz w:val="20"/>
                <w:szCs w:val="20"/>
                <w:color w:val="auto"/>
              </w:rPr>
            </w:pPr>
            <w:r>
              <w:rPr>
                <w:rFonts w:ascii="Arial" w:cs="Arial" w:eastAsia="Arial" w:hAnsi="Arial"/>
                <w:sz w:val="18"/>
                <w:szCs w:val="18"/>
                <w:color w:val="auto"/>
              </w:rPr>
              <w:t>- 7.0</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1380" w:type="dxa"/>
            <w:vAlign w:val="bottom"/>
          </w:tcPr>
          <w:p>
            <w:pPr>
              <w:ind w:left="20"/>
              <w:spacing w:after="0"/>
              <w:rPr>
                <w:sz w:val="20"/>
                <w:szCs w:val="20"/>
                <w:color w:val="auto"/>
              </w:rPr>
            </w:pPr>
            <w:r>
              <w:rPr>
                <w:rFonts w:ascii="Arial" w:cs="Arial" w:eastAsia="Arial" w:hAnsi="Arial"/>
                <w:sz w:val="18"/>
                <w:szCs w:val="18"/>
                <w:color w:val="auto"/>
              </w:rPr>
              <w:t>- 7.0</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0%</w:t>
            </w:r>
          </w:p>
        </w:tc>
        <w:tc>
          <w:tcPr>
            <w:tcW w:w="3600" w:type="dxa"/>
            <w:vAlign w:val="bottom"/>
            <w:gridSpan w:val="4"/>
            <w:shd w:val="clear" w:color="auto" w:fill="CFF0FC"/>
          </w:tcPr>
          <w:p>
            <w:pPr>
              <w:jc w:val="right"/>
              <w:ind w:right="113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granted is determined based on the price of the Company’s common stock on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ESPP purchase rights were not material for any period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and comprehensive loss (in thousands):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47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4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3"/>
                <w:szCs w:val="13"/>
                <w:b w:val="1"/>
                <w:bCs w:val="1"/>
                <w:color w:val="auto"/>
              </w:rPr>
              <w:t>Three Months Ended March 31,</w:t>
            </w:r>
          </w:p>
        </w:tc>
        <w:tc>
          <w:tcPr>
            <w:tcW w:w="640" w:type="dxa"/>
            <w:vAlign w:val="bottom"/>
            <w:tcBorders>
              <w:bottom w:val="single" w:sz="8" w:color="auto"/>
            </w:tcBorders>
          </w:tcPr>
          <w:p>
            <w:pPr>
              <w:spacing w:after="0"/>
              <w:rPr>
                <w:sz w:val="13"/>
                <w:szCs w:val="13"/>
                <w:color w:val="auto"/>
              </w:rPr>
            </w:pPr>
          </w:p>
        </w:tc>
      </w:tr>
      <w:tr>
        <w:trPr>
          <w:trHeight w:val="142"/>
        </w:trPr>
        <w:tc>
          <w:tcPr>
            <w:tcW w:w="4720" w:type="dxa"/>
            <w:vAlign w:val="bottom"/>
            <w:tcBorders>
              <w:bottom w:val="single" w:sz="8" w:color="CFF0FC"/>
            </w:tcBorders>
          </w:tcPr>
          <w:p>
            <w:pPr>
              <w:spacing w:after="0"/>
              <w:rPr>
                <w:sz w:val="12"/>
                <w:szCs w:val="12"/>
                <w:color w:val="auto"/>
              </w:rPr>
            </w:pPr>
          </w:p>
        </w:tc>
        <w:tc>
          <w:tcPr>
            <w:tcW w:w="180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2"/>
                <w:szCs w:val="12"/>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72"/>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7"/>
              </w:rPr>
              <w:t>(1)</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1,945</w:t>
            </w:r>
          </w:p>
        </w:tc>
      </w:tr>
      <w:tr>
        <w:trPr>
          <w:trHeight w:val="230"/>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1,805</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2,979</w:t>
            </w: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8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72"/>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4,924</w:t>
            </w:r>
          </w:p>
        </w:tc>
      </w:tr>
      <w:tr>
        <w:trPr>
          <w:trHeight w:val="20"/>
        </w:trPr>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right="20" w:hanging="432"/>
        <w:spacing w:after="0" w:line="277"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the reversal of previously recognized stock-based compensation expense of $3.6 million related to forfeited awards of terminated employees, $2.7 million of which resulted from the wind-down of the Company’s Microbiome program (see Note 5).</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there was $18.6 million of total unrecognized stock-based compensation related to outstanding equity awards, which is expected to be recognized over a weighted average remaining amortization period of 1.8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Collaboration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Agreement</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2017, the Company and Allergan Pharmaceuticals International Limited (Allergan) entered into the Research, Development, Collaboration and License Agreement (the Allergan Agreement) to develop and commercialize select microbiome gastrointestinal disease therapies. In June 2020, following its acquisition of Allergan, AbbVie Inc. (AbbVie), on behalf of Allergan, gave written notice of termination of the Allergan Agreement, which subsequently became effective on October 10, 2020. Upon termination, the licenses granted by the Company and its know-how reverted to the Company.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2020, the Company recognized $4.1 million in revenue associated with the Allergan Agreement. A contract asset balance of $1.0 million was recorded as of December 31, 2020. There were no deferred revenue contract liabilities as of December 31, 2020 and no revenue, contract assets or contract liabilities recognized as of and for the three months ended March 31, 2021 due to the termination of the Allergan Agreement in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July 2020, the Company and BeiGene, Ltd. (BeiGene) entered into a Collaboration Agreement (the BeiGene Agreement) to develop and commercialize the Company’s novel core inhibitor product candidates VBR, ABI-H2158 and ABI-H3733 for chronic HBV infection (the Licensed Product Candidates) in the People’s Republic of China, Hong Kong, Taiwan and Macau (the Territory). Under the agreement, the Company and BeiGene are collaborating on certain global clinical studies and both the Company and BeiGene will independently conduct other clinical studies in their own respective territories.</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BeiGene agreed to pay all development and regulatory costs for the Licensed Product Candidates in the Territory up to an aggregate of $45.0 million. Development and regulatory costs for the Licensed Product Candidates for the Territory in excess of $45.0 million will be shared equally by the Company and BeiGene. If the Company conducts certain ancillary studies outside of the plan to develop these candidates in the Territory, BeiGene may elect to obtain access to the know-how and clinical data resulting for such ancillary studies and shall reimburse the Company proportionally for the Territory costs of such studies. Activities under the BeiGene Agreement will be governed by a joint steering committee (JSC) consisting of equal representatives from each party to the agreement. All decisions of the JSC are to be made by consensus with final decision-making authority granted to each party based on key areas of the collaboration for which they are responsible. During the term of the BeiGene Agreement, neither party will commercialize any competing products in the Territory. The Company will be responsible for manufacturing and supply of the candidates to be used in and outside of the Territory, although the parties may approve BeiGene to take on some or all of the commercial supply activities of the applicable Licensed Products in the Territory.</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not obligated to perform pre-Phase 3 clinical study development work outside the Territory on ABI-H2158 and ABI-H3733 but must provide BeiGene pre-Phase 3 clinical study know-how and development results if and when such development efforts are completed. If, after ABI-H2158 and ABI-H3733 reach the end of Phase 2 clinical studies, the Company and BeiGene are unable to mutually agree on the terms of a Phase 3 global study, BeiGene may elect to terminate the BeiGene Agreement solely as it relates to that compound, as applicable. Such a termination would result in Assembly regaining all rights to the applicable compound in the Territory. In addition, BeiGene may terminate the BeiGene Agreement for convenience at any time upon 90 days’ advance written notice to Assembly. The BeiGene Agreement also contains customary provisions for termination by either party, including in the event of breach of the BeiGene Agreement, subject to cure.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BeiGene Agreement, the Company received an upfront cash payment of $40.0 million from BeiGene for the delivery of exclusive, royalty-bearing licenses to develop and commercialize the Licensed Product Candidates in the Territory, and the Company is eligible to receive up to approximately $500.0 million in cash milestone payments, comprised of up to $113.8 million for development and regulatory milestones and up to $385.0 million in net sales milestones. In addition, the Company is eligible to receive tiered royalties at percentages ranging from the mid-teens to the low thirties of net sales.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BeiGene Agreement is within the scope of the collaborative arrangements guidance as both parties are active participants and are exposed to significant risks and rewards dependent on the success of commercializing the Licensed Product Candidates in the Territory but that the unit of account related to the delivery of Licensed Product Candidates is within the scope of the contract with customers guidance. The remaining units of account related to participation on the JSC and subcommittees, clinical supply and other in Territory and global development activities (the Collaboration Activities) are within the scope of the collaborative arrangements guidance. Commercial supply will be evaluated as a separate contract when the agreement is executed and a purchase order is received from BeiGene.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identified the following material promises related to the contract with customers unit of account under the BeiGene Agreement: (1) the transfer of the VBR License; (2) the transfer of the ABI-H2158 License; and (3) the transfer of the ABI-H3733 License. The Company concluded each of these licenses to be functional as they have significant standalone functionality and grants BeiGene the right to use the Company’s intellectual property as it exists on the effective date of the license. The ABI-H2158 and ABI-H3733 Licenses have a continuing technology transfer obligation that is considered to be an attribute of these licenses. The agreed upon prices for the clinical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supply of the Licensed Product Candidates to BeiGene do not represent material rights, and therefore are not performance obligations, and such pricing on an aggregate basis represents the standalone selling price an entity would typically pay for such a product in that region or market. There are also no minimum purchase commitments.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estimated the standalone selling price (SSP) of the Licenses using an income-based valuation approach for the estimated value a licensor of the compounds would receive considering the stage of the compound’s development. The Company believes a change in the assumptions used to determine its best estimate of SSP would not have a significant value on the allocation of consideration received.</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transaction price at the inception of the agreement was limited to the $40.0 million upfront payment. The variable consideration related to the remaining development and commercialization milestone payments has not been included in the transaction price as these were fully constrained as of March 31, 2021. As part of the Company’s evaluation of the development and commercialization milestones constraint, the Company determined the achievement of such milestones are contingent upon success in future clinical studies and regulatory approvals which are not within its control and uncertain at this stage. Any variable consideration related to sales-based milestones (including royalties) will be recognized when the related sales occur as they were determined to relate predominantly to the Licensed Product Candidates granted to BeiGene. The Company will reevaluate the transaction price in each reporting period as uncertain events are resolved or other changes in circumstances occur.</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entering into the BeiGene Agreement in July 2020, the Company recognized $31.0 million as collaboration revenue for the amount allocated to the VBR License as substantial completion of the license technology transfer had occurred. The remaining transaction price allocated to the ABI-H2158 and ABI-H3733 Licenses of $9.0 million was recorded as a long-term deferred revenue contract liability on the unaudited condensed consolidated balance sheet as of March 31, 2021 and December 31, 2020. Revenue for these performance obligations will be recognized when the Company provides pre-Phase 3 clinical study know-how and development results for these compounds to BeiGene or a termination of the BeiGene Agreement for the respective compound.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Payments to, or reimbursements from, BeiGene related to the Collaboration Activities will be accounted for as an increase to or reduction of research and development expenses when incurred or realized, respectively. During the three months ended March 31, 2021, the Company did not recognize any increase or reduction of research and development expense under the BeiGene Agreement.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incurred $3.5 million in incremental costs of obtaining the BeiGene Agreement. These contract costs have been capitalized and are being recognized consistent with the pattern of recognition of revenue associated with the Licensed Product Candidates. As of March 31, 2021 and December 31, 2020, $0.8 million remains unamortized and is included in other assets on the condensed consolidated balance sheet.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Arbutus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2020, the Company and Arbutus Biopharma Corporation (Arbutus) entered into a Clinical Trial Collaboration Agreement (the Arbutus Agreement) to conduct a randomized, multi-center, open-label Phase 2 clinical study to explore the safety, PK and antiviral activity of the triple combination of VBR, AB-729 and a nucleos(t)ide reverse transcriptase inhibitor (NrtI) compared to the double combinations of VBR plus NrtI and AB-729 plus NrtI. Assembly and Arbutus will share responsibility for the costs of the study equally, excluding manufacturing supply which will be the burden of each company to supply their respective drugs VBR and AB-729.</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Arbutus Agreement is within the scope of the collaborative arrangements guidance as both parties are active participants and are exposed to significant risks and rewards dependent on the success of the collaborative activity. Arbutus is not a customer as it does not obtain an output from the collaborative activities as they were not provided an exclusive license to VBR or the ability to manufacture VBR, and the Company does not consider performing such collaborative activities to be a part of its ongoing activities.</w:t>
      </w:r>
    </w:p>
    <w:p>
      <w:pPr>
        <w:spacing w:after="0" w:line="160"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revenue from contracts with customers guidance was considered by analogy in determining the unit of account, and the recognition and measurement of such unit of account for collaborative activities under the Arbutus Agreement and concluded there is one activity, to run an open-label Phase 2 clinical study, which is akin to performance obligation related to collaborative activities. Reimbursements and cost-sharing portions of this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performance obligation will be reflected as a reduction of research and development expense when realized in the Company’s condensed consolidated statements of operations, as the Company does not consider performing research and development services for reimbursement to be a part of its ongoing major or central operations. During the three months ended March 31, 2021, the Company recognized a reduction of research and development expenses of $0.5 million under the Arbutus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6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2"/>
                <w:szCs w:val="12"/>
                <w:color w:val="auto"/>
              </w:rPr>
            </w:pPr>
          </w:p>
        </w:tc>
        <w:tc>
          <w:tcPr>
            <w:tcW w:w="10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84"/>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8,987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8,987</w:t>
            </w: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16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2"/>
                <w:szCs w:val="12"/>
                <w:color w:val="auto"/>
              </w:rPr>
            </w:pPr>
          </w:p>
        </w:tc>
        <w:tc>
          <w:tcPr>
            <w:tcW w:w="10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84"/>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37,048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36,041</w:t>
            </w: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Note 9 - Milestones and Research Agreements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such fees for that year. No amounts were paid in the three months ended March 31, 2021. Amounts paid in the three months ended March 31, 2020 were insignificant.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Targeted Colonic Delivery Platform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2013, the Company entered into a License and Collaboration Agreement with Therabiome, LLC (Therabiome), for all intellectual property and know-how owned or controlled by Therabiome relating to the oral delivery of pharmaceutical drugs to specific sites in the intestine, using a pH sensitive controlled release capsule-in-capsule technology. The Company was solely responsible for all research and development activities with respect to any product it developed under the license.</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was obligated to pay Therabiome clinical and regulatory milestones for each product or therapy advanced from the platform for U.S. regulatory milestones. In addition, the Company was obligated to pay Therabiome lesser amounts for foreign regulatory milestones, which varied by country and region. The Company was also required to pay Therabiome royalties on annual net sales of a product in the low to mid-single digit percentages plus, once annual net sales exceeded certain thresholds, a one-time cash payment upon reaching such thresholds.</w:t>
      </w:r>
    </w:p>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Therabiome was obligated to pay the Company royalties on annual net sales of any product Therabiome was permitted to develop using the intellectual property in the low double to mid-double-digit percentages, depending on the level of development or involvement the Company had in the product.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amounts were accrued for this agreement as of and for the three months ended March 31, 2021 or 2020. In connection with the wind-down of the Microbiome program, the License and Collaboration Agreement with Therabiome was terminated in January 2021, and the termination became effective on April 21,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Door Agreement</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November 2020, the Company and Door Pharmaceuticals, LLC (Door) entered into an exclusive, two-year Collaboration Agreement and Sublicense Agreement (collectively, the Door Agreement) focused on the development of a novel class of HBV inhibitors. Under the terms of the agreement, Door will build upon its previous efforts to lead and conduct new discovery research, which the Company will fund. In return for an up-front payment of $1.8 million, success-based milestones up to $35.0 million, exercise and annual fees ranging from $0.1 million to $2.0 million and royalties in the low to mid-single digits, the Company will be granted an exclusive option to license compounds arising from the collaboration and will be responsible for the continued development and commercialization of optioned compounds. For the three months ended March 31, 2021, the Company incurred $0.4 million of research and development funding.</w:t>
      </w:r>
    </w:p>
    <w:p>
      <w:pPr>
        <w:spacing w:after="0" w:line="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consolidation accounting standard, the Company determined that Door is a variable interest entity. The Company does not have the power to direct the activities that most significantly affect the economic performance of Door and as such the Company is not the primary beneficiary and consolidation is not required. As of March 31, 2021, the Company has not provided financial or other support to Door that was not contractually required.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leases office and laboratory space in South San Francisco, California under a sub-sublease that expires in December 2023. The sub-sublease contains scheduled rent increases over the lease term. The Company also leases office space in Carmel, Indiana under a lease agreement that expires in August 2023. In February 2021, the Company subleased substantially all of the office space under the Carmel, Indiana lease. The Company also leases office and laboratory space in Groton, Connecticut that supported the Microbiome program under a lease that expires in June 2021. Due to the wind-down of the Microbiome program, the lease will not be renewed. The Company’s China subsidiary leased office space and lab space in Shanghai, which the Company let expire in March 2021 and December 2020, respectively. Additionally, the Company’s China subsidiary leases office space in Beijing under a lease agreement that expires in December 2021. Certain lease contracts contain renewal clauses that the Company assesses on a case-by-case basis. The Company also leases certain laboratory equipment accounted for as operating leases expiring at various dates, with the final lease expiring in 2023. In February 2021, the Company purchased substantially all of the leased equipment used for the Microbiome program from its leasing agency and sold them to third parties (see Note 5).</w:t>
      </w:r>
    </w:p>
    <w:p>
      <w:pPr>
        <w:spacing w:after="0" w:line="13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the Company had operating lease liabilities of $8.6 million and ROU assets of $8.1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3"/>
                <w:szCs w:val="13"/>
                <w:b w:val="1"/>
                <w:bCs w:val="1"/>
                <w:color w:val="auto"/>
              </w:rPr>
              <w:t>Three Months Ended March 31,</w:t>
            </w:r>
          </w:p>
        </w:tc>
        <w:tc>
          <w:tcPr>
            <w:tcW w:w="66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360" w:type="dxa"/>
            <w:vAlign w:val="bottom"/>
            <w:tcBorders>
              <w:bottom w:val="single" w:sz="8" w:color="CFF0FC"/>
            </w:tcBorders>
          </w:tcPr>
          <w:p>
            <w:pPr>
              <w:spacing w:after="0"/>
              <w:rPr>
                <w:sz w:val="12"/>
                <w:szCs w:val="12"/>
                <w:color w:val="auto"/>
              </w:rPr>
            </w:pPr>
          </w:p>
        </w:tc>
        <w:tc>
          <w:tcPr>
            <w:tcW w:w="32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ind w:right="50"/>
              <w:spacing w:after="0" w:line="142" w:lineRule="exact"/>
              <w:rPr>
                <w:sz w:val="20"/>
                <w:szCs w:val="20"/>
                <w:color w:val="auto"/>
              </w:rPr>
            </w:pPr>
            <w:r>
              <w:rPr>
                <w:rFonts w:ascii="Arial" w:cs="Arial" w:eastAsia="Arial" w:hAnsi="Arial"/>
                <w:sz w:val="13"/>
                <w:szCs w:val="13"/>
                <w:b w:val="1"/>
                <w:bCs w:val="1"/>
                <w:color w:val="auto"/>
              </w:rPr>
              <w:t>2020</w:t>
            </w:r>
          </w:p>
        </w:tc>
        <w:tc>
          <w:tcPr>
            <w:tcW w:w="6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3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4240" w:type="dxa"/>
            <w:vAlign w:val="bottom"/>
            <w:gridSpan w:val="2"/>
          </w:tcPr>
          <w:p>
            <w:pPr>
              <w:jc w:val="right"/>
              <w:ind w:right="894"/>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1,135</w:t>
            </w:r>
          </w:p>
        </w:tc>
        <w:tc>
          <w:tcPr>
            <w:tcW w:w="160" w:type="dxa"/>
            <w:vAlign w:val="bottom"/>
          </w:tcPr>
          <w:p>
            <w:pPr>
              <w:spacing w:after="0"/>
              <w:rPr>
                <w:sz w:val="19"/>
                <w:szCs w:val="19"/>
                <w:color w:val="auto"/>
              </w:rPr>
            </w:pPr>
          </w:p>
        </w:tc>
        <w:tc>
          <w:tcPr>
            <w:tcW w:w="1040" w:type="dxa"/>
            <w:vAlign w:val="bottom"/>
          </w:tcPr>
          <w:p>
            <w:pPr>
              <w:jc w:val="right"/>
              <w:ind w:right="89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1,151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lease cost</w:t>
            </w:r>
          </w:p>
        </w:tc>
        <w:tc>
          <w:tcPr>
            <w:tcW w:w="3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Variable lease cost</w:t>
            </w:r>
          </w:p>
        </w:tc>
        <w:tc>
          <w:tcPr>
            <w:tcW w:w="3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32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 lease cost</w:t>
            </w:r>
          </w:p>
        </w:tc>
        <w:tc>
          <w:tcPr>
            <w:tcW w:w="3200" w:type="dxa"/>
            <w:vAlign w:val="bottom"/>
          </w:tcPr>
          <w:p>
            <w:pPr>
              <w:spacing w:after="0"/>
              <w:rPr>
                <w:sz w:val="19"/>
                <w:szCs w:val="19"/>
                <w:color w:val="auto"/>
              </w:rPr>
            </w:pPr>
          </w:p>
        </w:tc>
        <w:tc>
          <w:tcPr>
            <w:tcW w:w="1040" w:type="dxa"/>
            <w:vAlign w:val="bottom"/>
            <w:tcBorders>
              <w:bottom w:val="single" w:sz="8" w:color="auto"/>
            </w:tcBorders>
          </w:tcPr>
          <w:p>
            <w:pPr>
              <w:jc w:val="right"/>
              <w:ind w:right="89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1,554</w:t>
            </w: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89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0" w:type="dxa"/>
            <w:vAlign w:val="bottom"/>
            <w:vMerge w:val="restart"/>
          </w:tcPr>
          <w:p>
            <w:pPr>
              <w:jc w:val="right"/>
              <w:ind w:right="1330"/>
              <w:spacing w:after="0"/>
              <w:rPr>
                <w:sz w:val="20"/>
                <w:szCs w:val="20"/>
                <w:color w:val="auto"/>
              </w:rPr>
            </w:pPr>
            <w:r>
              <w:rPr>
                <w:rFonts w:ascii="Arial" w:cs="Arial" w:eastAsia="Arial" w:hAnsi="Arial"/>
                <w:sz w:val="18"/>
                <w:szCs w:val="18"/>
                <w:color w:val="auto"/>
              </w:rPr>
              <w:t>19</w:t>
            </w: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680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2540</wp:posOffset>
            </wp:positionV>
            <wp:extent cx="20148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ind w:left="8060"/>
        <w:spacing w:after="0"/>
        <w:tabs>
          <w:tab w:leader="none" w:pos="972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14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1,041</w:t>
            </w:r>
          </w:p>
        </w:tc>
        <w:tc>
          <w:tcPr>
            <w:tcW w:w="1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1,120</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ROU assets exchanged for new operating lease liabilities</w:t>
            </w:r>
          </w:p>
        </w:tc>
        <w:tc>
          <w:tcPr>
            <w:tcW w:w="19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362</w:t>
            </w: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both March 31, 2021 and December 31, 2020, the weighted-average remaining lease term for operating leases was 2.7 years. As of March 31, 2021 and December 31, 2020, the weighted-average discount rate for operating leases was 9.7% and 9.2%,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maturities of the Company’s operating lease liabilities were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Nine months ending December 31, 2021</w:t>
            </w:r>
          </w:p>
        </w:tc>
        <w:tc>
          <w:tcPr>
            <w:tcW w:w="342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2,724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Year Ending December 31, 2022</w:t>
            </w:r>
          </w:p>
        </w:tc>
        <w:tc>
          <w:tcPr>
            <w:tcW w:w="2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3,612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 2023</w:t>
            </w:r>
          </w:p>
        </w:tc>
        <w:tc>
          <w:tcPr>
            <w:tcW w:w="28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3,460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2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9,796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Less: present value discount</w:t>
            </w:r>
          </w:p>
        </w:tc>
        <w:tc>
          <w:tcPr>
            <w:tcW w:w="28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ind w:left="1700"/>
              <w:spacing w:after="0"/>
              <w:rPr>
                <w:sz w:val="20"/>
                <w:szCs w:val="20"/>
                <w:color w:val="auto"/>
              </w:rPr>
            </w:pPr>
            <w:r>
              <w:rPr>
                <w:rFonts w:ascii="Arial" w:cs="Arial" w:eastAsia="Arial" w:hAnsi="Arial"/>
                <w:sz w:val="18"/>
                <w:szCs w:val="18"/>
                <w:color w:val="auto"/>
              </w:rPr>
              <w:t>Operating lease liabilities</w:t>
            </w:r>
          </w:p>
        </w:tc>
        <w:tc>
          <w:tcPr>
            <w:tcW w:w="2840" w:type="dxa"/>
            <w:vAlign w:val="bottom"/>
          </w:tcPr>
          <w:p>
            <w:pPr>
              <w:spacing w:after="0"/>
              <w:rPr>
                <w:sz w:val="19"/>
                <w:szCs w:val="19"/>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8,578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40" w:type="dxa"/>
            <w:vAlign w:val="bottom"/>
            <w:vMerge w:val="restart"/>
          </w:tcPr>
          <w:p>
            <w:pPr>
              <w:jc w:val="right"/>
              <w:ind w:right="2110"/>
              <w:spacing w:after="0"/>
              <w:rPr>
                <w:sz w:val="20"/>
                <w:szCs w:val="20"/>
                <w:color w:val="auto"/>
              </w:rPr>
            </w:pPr>
            <w:r>
              <w:rPr>
                <w:rFonts w:ascii="Arial" w:cs="Arial" w:eastAsia="Arial" w:hAnsi="Arial"/>
                <w:sz w:val="18"/>
                <w:szCs w:val="18"/>
                <w:color w:val="auto"/>
              </w:rPr>
              <w:t>20</w:t>
            </w: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interim condensed consolidated financial statements and this Management’s Discussion and Analysis of Financial Condition and Results of Operations should be read in conjunction with the consolidated financial statements and notes thereto for the year ended December 31, 2020 and the related Management’s Discussion and Analysis of Financial Condition and Results of Operations, both of which are contained in our Annual Report on Form 10-K for the fiscal year ended December 31, 2020 filed with the U.S. Securities and Exchange Commission on February 25, 2021 (2020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2020 Annual Report and “Part II. Item 1A. Risk Factors” in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biotechnology company advancing a novel class of oral therapeutic candidates for the treatment of chronic hepatitis B virus (HBV) infection. According to the World Health Organization (WHO), approximately 270 million people worldwide are chronically infected with HBV. Our research and development programs are pursuing multiple drug candidates designed to inhibit the HBV replication cycle and block the generation of covalently closed circular DNA (cccDNA), with the aim of discovering and developing finite and curative therapies for patients with chronic HBV infection. We have discovered several novel core inhibitors, which are small molecules that directly target and allosterically modulate the HBV core (HBc) protein in a way that affects assembly and stability of HBV nucleocapsids.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ongoing COVID-19 pandemic has affected certain aspects of our business. As further detailed below, those effects have been primarily limited to where and how our employees work in our labs and offices. To date, our current and future planned clinical and nonclinical studies have not been subject to significant impact as a result of the COVID-19 pandemic.</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previously announced, in January 2021, we wound down our Microbiome program to prioritize and focus our resources on discovering and developing finite and curative therapies for chronic HBV infection.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Primary Focus: Targeting HBV Core Protein to Achieve a Cure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HBV is a DNA virus that infects hepatocytes and establishes a reservoir of cccDNA, a unique viral DNA species that resides in the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most of our research and development efforts to date have focused on discovering and developing compounds targeting the core protein, a viral protein involved in numerous aspects of the HBV replication cycle, including the generation of HBV cccDNA. Through our research efforts, we have discovered several chemically distinct series of small molecule core inhibitors that directly target and allosterically inhibit core protein functions.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Vebicorvir</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Vebicorvir (VBR), our lead core inhibitor product candidate, is licensed from Indiana University. The conduct of our initial Phase 2 studies, Study 201 and 202, is complete. Our open-label extension study, Study 211, involved treating patients with VBR plus nucelos(t)ide analog reverse transcriptase inhibitors (NrtIs) and ultimately transitioning patients who met the requisite stopping criteria, as determined with our lead investigators and the U.S. Food and Drug Administration (FDA), off of therapy to test for sustained virologic response (SVR). SVR refers to sustained viral suppression (more than six months) of HBV DNA below the lower limit of quantification (LLOQ) and would be consistent with a successful finite treatment for chronic HBV infection. In November 2020, it became clear that patients who stopped therapy in Study 211 had not achieved meaningful SVR rates, as 39 of 41 patients relapsed, meaning they had detectable HBV, and that dual combination therapy of VBR plus NrtIs is insufficient to cure chronic HBV infection. Based on these results, we terminated Study 211 in the fourth quarter of 2020. We plan to present additional follow-up from Study 211 related to virologic response, safety and resistance following treatment discontinuation, at the European Association for the Study of the Liver’s (EASL) International Liver Congress</w:t>
      </w:r>
      <w:r>
        <w:rPr>
          <w:rFonts w:ascii="Arial" w:cs="Arial" w:eastAsia="Arial" w:hAnsi="Arial"/>
          <w:sz w:val="15"/>
          <w:szCs w:val="15"/>
          <w:color w:val="auto"/>
        </w:rPr>
        <w:t>TM</w:t>
      </w:r>
      <w:r>
        <w:rPr>
          <w:rFonts w:ascii="Arial" w:cs="Arial" w:eastAsia="Arial" w:hAnsi="Arial"/>
          <w:sz w:val="18"/>
          <w:szCs w:val="18"/>
          <w:color w:val="auto"/>
        </w:rPr>
        <w:t xml:space="preserve"> in June 2021 (EASL 2021).</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discussions with leading viral hepatitis experts, global regulatory discussions and feedback and, with respect to the China territory, discussions and agreement with our collaboration partner, BeiGene, Ltd. (BeiGene),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we recently decided to not move forward with the global registrational studies for VBR as a chronic suppressive treatment (CST) with NrtIs. The decision was made to focus on the greatest unmet medical need of patients, which lies predominantly in cure, rather than CST. In connection with focusing our efforts with VBR moving forward in combination with NrtIs and additional mechanisms targeting finite and curative combination therapy, we terminated Study 205 in the first quarter of 2021. Study 205 had been initiated to evaluate treatment intensification with VBR in patients with chronic HBV infection who are only partially virologically suppressed on NrtI.</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ABI-H2158</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Our second-generation core inhibitor product candidate, ABI-H2158 (2158), was internally discovered and developed and is chemically distinct from VBR.</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reported the final data from dose-ranging cohorts of the Phase 1b portion of the Phase 1a/1b dose-ranging clinical study at EASL in August 2020. Based on data from the Phase 1b dose-ranging study, we initiated a Phase 2 clinical study in June 2020 using a 300 mg daily dose of 2158. This study is being conducted in approximately ten countries in Asia, North America and Europe. We expect interim data from this study in the second half of 2021. While we will continue to monitor the situation closely, we do not currently expect our timelines for this study to be significantly impacted by the COVID-19 pandemic.</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ABI-H3733</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third core inhibitor product candidate, ABI-H3733 (3733), has completed Investigational New Drug (IND) enabling studies. 3733 has a novel chemical scaffold separate from both VBR and 2158. We presented a preclinical profile of this candidate in the first quarter of 2019.</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we initiated a Phase 1a clinical study to evaluate safety, tolerability and pharmacokinetics (PK) following single ascending dose and multiple ascending dose administration of 3733 in healthy subjects in New Zealand. Conduct for the study was completed in the fourth quarter of 2020 and preliminary data indicate that 3733 was generally well-tolerated and had favorable PK.</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present observations on the enhanced potency and target coverage for both antiviral inhibition and inhibition of cccDNA generation for our next generation core inhibitors 2158 and 3733 at EASL 2021.</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Additional Product Candidates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our three clinical-stage product candidates, our research discovery team is actively focused on identifying and selecting a fourth core inhibitor candidate, which we anticipate in the first half of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Multi-Drug Combination Studies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core inhibitors and NrtIs will be central to finite and curative therapies for chronic HBV infection. Therefore, as we continue to develop and advance our current and future core inhibitors through clinical studies, we have begun to conduct multi-drug combination studies in parallel that add additional drugs (or compounds) with non-overlapping mechanisms of action to the core inhibitor + NrtI antiviral backbone. Specifically, we plan to only incorporate our current and future core inhibitors that have demonstrated they are well-tolerated and effective in clinical studies in dual combination with NrtI. As the 300 mg daily dose of VBR has been observed to be well-tolerated in all studies conducted to date, with no serious adverse effects or dose-limiting toxicities identified and no pattern of treatment-emergent clinical or laboratory abnormalities observed, we are exploring the 300mg VBR + NrtI antiviral backbone in two triple combination studies.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first triple combination study is being conducted pursuant to a Clinical Trial Collaboration Agreement with Arbutus Biopharma Corporation (Arbutus Biopharma) and consists of a randomized, multi-center, open-label Phase 2 clinical study to explore the safety, PK and antiviral activity of the triple combination of VBR, NrtI and AB-729 (Arbutus Biopharma’s investigational RNAi candidate) compared to the dual combinations of VBR + NrtI and AB-729 + NrtI in virologically suppressed subjects. Our second triple combination study evaluates VBR and NrtI in combination with pegylated interferon alfa in treatment-naïve HBeAg positive subjects. Both studies initiated in the first quarter of 2021.</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above studies, we expect to pursue additional multi-drug combinations that include other or additional non-overlapping mechanisms of action to the core inhibitor + NrtI antiviral backbone.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Beyond Core Inhibitors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development and advancement of our core inhibitor portfolio and our current and future multi-drug combination studies, our research and development team is working on discovering and developing a potent fourth core inhibitor, cccDNA disruptors and small molecules targeting novel undisclosed targets to add to the core inhibitor + NrtI antiviral backbone to achieve finite and curative therapies. In November 2020, we entered into an exclusive, two-year collaboration and option agreement with Door Pharmaceuticals (Door Pharma) focused on the development of a novel class of HBV inhibitors. Door Pharma’s discovery platform targets functions of HBV core protein distinct from viral assembly and has the potential to interfere with viral nucleic acid, including intra-nuclear cccDNA. Together with Door Pharma, we are working on identifying cccDNA disruptors, which will be aimed at inhibiting different intra-nuclear steps in the viral replication cycle that complement the activity of our core inhibitors.</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terms of the agreement, Door Pharma will build upon its previous efforts to lead and conduct new discovery research, which we will fund. In return for an up-front payment and success-based milestones and royalties, we received an exclusive option to license compounds arising from the collaboration and will be responsible for the continued development and commercialization of optioned compounds.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corporate and administrative offices and research laboratory space in South San Francisco, California and a small office in China. Until the lease expires in June 2021, we also have administrative office and laboratory space in Groton, Connecticut that was used by our Microbiome program prior to the program being wound down.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generated significant losses to date, and we expect to continue to generate losses as we develop our product candidates. As of March 31, 2021, we had an accumulated deficit of $528.8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mid-March 2020, as a result of the COVID-19 pandemic, six San Francisco Bay Area counties announced a shelter-in-place order, restricting all residents to their homes, with few exceptions. Within a week, California issued a statewide stay-at-home order. As a biotechnology company, we were exempt from such orders. While California has begun reopening on a tiered county-by-county basis, with counties assigned to tiers based on positivity rate, adjusted case rate and a health equity metric, both the statewide and local orders remain in place.</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Because of the exemptions described above, there has not been any significant interruption to date of essential activities at our offices, including work in our laboratories with proper protections and procedures in place. While we have experienced some shipping delays or shortages of personal protective equipment (PPE) that are important to maintaining normal workflows in our laboratories, we have been able to continue our critical research activities through schedule shifts, use of PPE on-hand and reallocation of certain resources that allow our employees to practice “social distancing” and comply with applicable laws. Substantially all of our U.S.-based non-research employees have been working from their homes since mid-March 2020. Clinical study-related impacts of the COVID-19 pandemic to date have been limited to short enrollment delays for our Phase 1 study of 3733. We continually work with our contract research organizations (CROs) and other vendors to ensure, to the extent possible, that services are provided in a timely manner while also identifying alternative vendors and strategies to utilize in the event that COVID or third party-related delays threaten our ability to meet our timelines. We cannot currently predict the specific extent, duration or full impact that the COVID-19 pandemic will have on our ongoing and planned research efforts, clinical studies and other business operations. We continue to monitor the situation regularly for additional potential delays, or modifications to our ongoing and planned studies and, if circumstances warrant, we may adjust our budget and operating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condensed consolidated financial statements, which have been prepared in accordance with the accounting principles generally accepted in the United States (U.S. GAAP). The preparation of these financial statements requires us to make estimates and assumptions that affect the reported amounts of assets, liabilities, revenues, and expenses.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estimates and judgments, including those related to accrued expenses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significant estimates are detailed in our 2020 Annual Report. Our critical accounting policies and significant estimates have not changed from those previously disclosed in our 2020 Annual Report, except for those accounting subjects discussed in the section of Note 2 to the unaudited condensed consolidated financial statements titled Adoption of Recent Accounting Pronouncements included in this Quarterly Report on Form 10-Q.</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 Change</w:t>
            </w:r>
          </w:p>
        </w:tc>
      </w:tr>
      <w:tr>
        <w:trPr>
          <w:trHeight w:val="156"/>
        </w:trPr>
        <w:tc>
          <w:tcPr>
            <w:tcW w:w="4900" w:type="dxa"/>
            <w:vAlign w:val="bottom"/>
          </w:tcPr>
          <w:p>
            <w:pPr>
              <w:spacing w:after="0"/>
              <w:rPr>
                <w:sz w:val="13"/>
                <w:szCs w:val="13"/>
                <w:color w:val="auto"/>
              </w:rPr>
            </w:pPr>
          </w:p>
        </w:tc>
        <w:tc>
          <w:tcPr>
            <w:tcW w:w="96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1520" w:type="dxa"/>
            <w:vAlign w:val="bottom"/>
          </w:tcPr>
          <w:p>
            <w:pPr>
              <w:jc w:val="center"/>
              <w:ind w:right="122"/>
              <w:spacing w:after="0" w:line="155" w:lineRule="exact"/>
              <w:rPr>
                <w:sz w:val="20"/>
                <w:szCs w:val="20"/>
                <w:color w:val="auto"/>
              </w:rPr>
            </w:pPr>
            <w:r>
              <w:rPr>
                <w:rFonts w:ascii="Arial" w:cs="Arial" w:eastAsia="Arial" w:hAnsi="Arial"/>
                <w:sz w:val="14"/>
                <w:szCs w:val="14"/>
                <w:b w:val="1"/>
                <w:bCs w:val="1"/>
                <w:color w:val="auto"/>
                <w:w w:val="89"/>
              </w:rPr>
              <w:t>2021 vs. 2020</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Collaboration revenue</w:t>
            </w:r>
          </w:p>
        </w:tc>
        <w:tc>
          <w:tcPr>
            <w:tcW w:w="960" w:type="dxa"/>
            <w:vAlign w:val="bottom"/>
            <w:tcBorders>
              <w:top w:val="single" w:sz="8" w:color="auto"/>
            </w:tcBorders>
            <w:shd w:val="clear" w:color="auto" w:fill="CCECFF"/>
          </w:tcPr>
          <w:p>
            <w:pPr>
              <w:jc w:val="right"/>
              <w:ind w:right="80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CFF"/>
          </w:tcPr>
          <w:p>
            <w:pPr>
              <w:ind w:left="1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CFF"/>
            </w:tcBorders>
            <w:shd w:val="clear" w:color="auto" w:fill="CCECFF"/>
          </w:tcPr>
          <w:p>
            <w:pPr>
              <w:spacing w:after="0"/>
              <w:rPr>
                <w:sz w:val="19"/>
                <w:szCs w:val="19"/>
                <w:color w:val="auto"/>
              </w:rPr>
            </w:pPr>
          </w:p>
        </w:tc>
        <w:tc>
          <w:tcPr>
            <w:tcW w:w="880" w:type="dxa"/>
            <w:vAlign w:val="bottom"/>
            <w:tcBorders>
              <w:top w:val="single" w:sz="8" w:color="auto"/>
            </w:tcBorders>
            <w:shd w:val="clear" w:color="auto" w:fill="CCECFF"/>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3"/>
              </w:rPr>
              <w:t>4,081</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(4,081)</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revenue for the three months ended March 31, 2020 includes the recognition of deferred revenue and reimbursements incurred under Research, Development, Collaboration and License Agreement (the Allergan Agreement) that we entered into with Allergan Pharmaceuticals Limited (Allergan). Following its acquisition of Allergan, AbbVie, Inc. (AbbVie) gave written notice of termination of the Allergan Agreement in June 2020 which became effective October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Program/Description</w:t>
            </w:r>
          </w:p>
        </w:tc>
        <w:tc>
          <w:tcPr>
            <w:tcW w:w="280" w:type="dxa"/>
            <w:vAlign w:val="bottom"/>
          </w:tcPr>
          <w:p>
            <w:pPr>
              <w:spacing w:after="0"/>
              <w:rPr>
                <w:sz w:val="14"/>
                <w:szCs w:val="14"/>
                <w:color w:val="auto"/>
              </w:rPr>
            </w:pPr>
          </w:p>
        </w:tc>
        <w:tc>
          <w:tcPr>
            <w:tcW w:w="29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4"/>
                <w:szCs w:val="14"/>
                <w:color w:val="auto"/>
              </w:rPr>
            </w:pPr>
          </w:p>
        </w:tc>
        <w:tc>
          <w:tcPr>
            <w:tcW w:w="1280" w:type="dxa"/>
            <w:vAlign w:val="bottom"/>
          </w:tcPr>
          <w:p>
            <w:pPr>
              <w:jc w:val="right"/>
              <w:ind w:right="417"/>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520" w:type="dxa"/>
            <w:vAlign w:val="bottom"/>
          </w:tcPr>
          <w:p>
            <w:pPr>
              <w:jc w:val="right"/>
              <w:ind w:right="4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97"/>
              <w:spacing w:after="0"/>
              <w:rPr>
                <w:sz w:val="20"/>
                <w:szCs w:val="20"/>
                <w:color w:val="auto"/>
              </w:rPr>
            </w:pPr>
            <w:r>
              <w:rPr>
                <w:rFonts w:ascii="Arial" w:cs="Arial" w:eastAsia="Arial" w:hAnsi="Arial"/>
                <w:sz w:val="14"/>
                <w:szCs w:val="14"/>
                <w:b w:val="1"/>
                <w:bCs w:val="1"/>
                <w:color w:val="auto"/>
                <w:w w:val="98"/>
              </w:rPr>
              <w:t>2021 vs. 2020</w:t>
            </w:r>
          </w:p>
        </w:tc>
        <w:tc>
          <w:tcPr>
            <w:tcW w:w="160" w:type="dxa"/>
            <w:vAlign w:val="bottom"/>
          </w:tcPr>
          <w:p>
            <w:pPr>
              <w:spacing w:after="0"/>
              <w:rPr>
                <w:sz w:val="19"/>
                <w:szCs w:val="19"/>
                <w:color w:val="auto"/>
              </w:rPr>
            </w:pPr>
          </w:p>
        </w:tc>
        <w:tc>
          <w:tcPr>
            <w:tcW w:w="1520" w:type="dxa"/>
            <w:vAlign w:val="bottom"/>
          </w:tcPr>
          <w:p>
            <w:pPr>
              <w:jc w:val="right"/>
              <w:ind w:right="38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HBV Cure program</w:t>
            </w:r>
          </w:p>
        </w:tc>
        <w:tc>
          <w:tcPr>
            <w:tcW w:w="160" w:type="dxa"/>
            <w:vAlign w:val="bottom"/>
            <w:tcBorders>
              <w:top w:val="single" w:sz="8" w:color="CCECFF"/>
            </w:tcBorders>
            <w:shd w:val="clear" w:color="auto" w:fill="CCECFF"/>
          </w:tcPr>
          <w:p>
            <w:pPr>
              <w:spacing w:after="0"/>
              <w:rPr>
                <w:sz w:val="19"/>
                <w:szCs w:val="19"/>
                <w:color w:val="auto"/>
              </w:rPr>
            </w:pPr>
          </w:p>
        </w:tc>
        <w:tc>
          <w:tcPr>
            <w:tcW w:w="280" w:type="dxa"/>
            <w:vAlign w:val="bottom"/>
            <w:tcBorders>
              <w:top w:val="single" w:sz="8" w:color="auto"/>
            </w:tcBorders>
            <w:shd w:val="clear" w:color="auto" w:fill="CCEC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19,358</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15,636</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3,722</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CFF"/>
            </w:tcBorders>
            <w:gridSpan w:val="2"/>
          </w:tcPr>
          <w:p>
            <w:pPr>
              <w:spacing w:after="0"/>
              <w:rPr>
                <w:sz w:val="20"/>
                <w:szCs w:val="20"/>
                <w:color w:val="auto"/>
              </w:rPr>
            </w:pPr>
            <w:r>
              <w:rPr>
                <w:rFonts w:ascii="Arial" w:cs="Arial" w:eastAsia="Arial" w:hAnsi="Arial"/>
                <w:sz w:val="18"/>
                <w:szCs w:val="18"/>
                <w:color w:val="auto"/>
              </w:rPr>
              <w:t>Microbiome program</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7,410</w:t>
            </w:r>
          </w:p>
        </w:tc>
        <w:tc>
          <w:tcPr>
            <w:tcW w:w="16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w:t>
            </w:r>
          </w:p>
        </w:tc>
        <w:tc>
          <w:tcPr>
            <w:tcW w:w="1680" w:type="dxa"/>
            <w:vAlign w:val="bottom"/>
            <w:tcBorders>
              <w:bottom w:val="single" w:sz="8" w:color="CCECFF"/>
            </w:tcBorders>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CEC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18,554</w:t>
            </w:r>
          </w:p>
        </w:tc>
        <w:tc>
          <w:tcPr>
            <w:tcW w:w="1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23,046</w:t>
            </w:r>
          </w:p>
        </w:tc>
        <w:tc>
          <w:tcPr>
            <w:tcW w:w="16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(4,492)</w:t>
            </w:r>
          </w:p>
        </w:tc>
        <w:tc>
          <w:tcPr>
            <w:tcW w:w="168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Research and development expenses were $18.6 million for the three months ended March 31, 2021 compared to $23.0 million for the same period in 2020. The decrease was due to a decrease of $8.2 million in research and development expenses related to the Microbiome program due to the wind-down of the Microbiome program and includes the reversal of $2.4 million of previously recognized stock-based compensation expense related to forfeited awards of terminated employees. This decrease was partially offset by an increase of $3.7 million in research and development expenses related to the HBV program, which were primarily due to increases in clinical activities, chemistry and manufacturing control activities to support our clinical studies and increased salary and benefits due to additional employees. Research and development expenses include $2.1 million in a net reversal of non-cash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stock-based compensation expense as a result of forfeited awards for the three months ended March 31, 2021 compared to $1.9 million of non-cash stock-based compensation expense for the same period in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general and administrative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 Change</w:t>
            </w:r>
          </w:p>
        </w:tc>
      </w:tr>
      <w:tr>
        <w:trPr>
          <w:trHeight w:val="156"/>
        </w:trPr>
        <w:tc>
          <w:tcPr>
            <w:tcW w:w="49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6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1520" w:type="dxa"/>
            <w:vAlign w:val="bottom"/>
          </w:tcPr>
          <w:p>
            <w:pPr>
              <w:jc w:val="center"/>
              <w:ind w:right="122"/>
              <w:spacing w:after="0" w:line="155" w:lineRule="exact"/>
              <w:rPr>
                <w:sz w:val="20"/>
                <w:szCs w:val="20"/>
                <w:color w:val="auto"/>
              </w:rPr>
            </w:pPr>
            <w:r>
              <w:rPr>
                <w:rFonts w:ascii="Arial" w:cs="Arial" w:eastAsia="Arial" w:hAnsi="Arial"/>
                <w:sz w:val="14"/>
                <w:szCs w:val="14"/>
                <w:b w:val="1"/>
                <w:bCs w:val="1"/>
                <w:color w:val="auto"/>
                <w:w w:val="89"/>
              </w:rPr>
              <w:t>2021 vs. 2020</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top w:val="single" w:sz="8" w:color="auto"/>
            </w:tcBorders>
            <w:shd w:val="clear" w:color="auto" w:fill="CCEC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8,704</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9"/>
              <w:spacing w:after="0"/>
              <w:rPr>
                <w:sz w:val="20"/>
                <w:szCs w:val="20"/>
                <w:color w:val="auto"/>
              </w:rPr>
            </w:pPr>
            <w:r>
              <w:rPr>
                <w:rFonts w:ascii="Arial" w:cs="Arial" w:eastAsia="Arial" w:hAnsi="Arial"/>
                <w:sz w:val="18"/>
                <w:szCs w:val="18"/>
                <w:color w:val="auto"/>
              </w:rPr>
              <w:t>8,729</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stock-based compensation expense associated with equity awards to our employees, consultants, and directors.</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 and administrative expenses were $8.7 million for both the three months ended March 31, 2021 and 2020. General and administrative expenses include non-cash stock-based compensation expenses of $1.8 million for the three months ended March 31, 2021 and $3.0 million for the same period in 2020. The decrease in stock-based compensation expense of $1.2 million was in part due to the reversal of $0.5 million of previously recognized expense related to forfeited awards from terminated employees as well as a decrease in the grant-date fair value of recent option grants. This decrease in stock-based compensation expense was offset by increases of $0.2 million in salary and benefits and $0.2 million in recruitment expenses due to additional employees and $0.7 million in lease-related costs largely attributable to asset impairment and other charges in connection with restructurings.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March 31, 2021 principally through equity financings, raising an aggregate of $586.0 million in net proceeds, and strategic collaborations, raising an aggregate of $90.0 million through upfront payments.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Cash provided by (used in):</w:t>
            </w:r>
          </w:p>
        </w:tc>
        <w:tc>
          <w:tcPr>
            <w:tcW w:w="4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CECFF"/>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C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23"/>
        </w:trPr>
        <w:tc>
          <w:tcPr>
            <w:tcW w:w="6900" w:type="dxa"/>
            <w:vAlign w:val="bottom"/>
            <w:shd w:val="clear" w:color="auto" w:fill="CCECFF"/>
          </w:tcPr>
          <w:p>
            <w:pPr>
              <w:spacing w:after="0"/>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CCECFF"/>
          </w:tcPr>
          <w:p>
            <w:pPr>
              <w:jc w:val="right"/>
              <w:ind w:right="28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(33,344)</w:t>
            </w:r>
          </w:p>
        </w:tc>
        <w:tc>
          <w:tcPr>
            <w:tcW w:w="240" w:type="dxa"/>
            <w:vAlign w:val="bottom"/>
            <w:shd w:val="clear" w:color="auto" w:fill="CCECFF"/>
          </w:tcPr>
          <w:p>
            <w:pPr>
              <w:spacing w:after="0"/>
              <w:rPr>
                <w:sz w:val="19"/>
                <w:szCs w:val="19"/>
                <w:color w:val="auto"/>
              </w:rPr>
            </w:pPr>
          </w:p>
        </w:tc>
        <w:tc>
          <w:tcPr>
            <w:tcW w:w="820" w:type="dxa"/>
            <w:vAlign w:val="bottom"/>
            <w:shd w:val="clear" w:color="auto" w:fill="CCECFF"/>
          </w:tcPr>
          <w:p>
            <w:pPr>
              <w:jc w:val="right"/>
              <w:ind w:right="6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(25,218)</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19"/>
                <w:szCs w:val="19"/>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18,016</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20,693</w:t>
            </w:r>
          </w:p>
        </w:tc>
        <w:tc>
          <w:tcPr>
            <w:tcW w:w="0" w:type="dxa"/>
            <w:vAlign w:val="bottom"/>
          </w:tcPr>
          <w:p>
            <w:pPr>
              <w:spacing w:after="0"/>
              <w:rPr>
                <w:sz w:val="1"/>
                <w:szCs w:val="1"/>
                <w:color w:val="auto"/>
              </w:rPr>
            </w:pPr>
          </w:p>
        </w:tc>
      </w:tr>
      <w:tr>
        <w:trPr>
          <w:trHeight w:val="230"/>
        </w:trPr>
        <w:tc>
          <w:tcPr>
            <w:tcW w:w="6900" w:type="dxa"/>
            <w:vAlign w:val="bottom"/>
            <w:shd w:val="clear" w:color="auto" w:fill="CCECFF"/>
          </w:tcPr>
          <w:p>
            <w:pPr>
              <w:spacing w:after="0"/>
              <w:rPr>
                <w:sz w:val="20"/>
                <w:szCs w:val="20"/>
                <w:color w:val="auto"/>
              </w:rPr>
            </w:pPr>
            <w:r>
              <w:rPr>
                <w:rFonts w:ascii="Arial" w:cs="Arial" w:eastAsia="Arial" w:hAnsi="Arial"/>
                <w:sz w:val="18"/>
                <w:szCs w:val="18"/>
                <w:color w:val="auto"/>
              </w:rPr>
              <w:t>Financing activities</w:t>
            </w:r>
          </w:p>
        </w:tc>
        <w:tc>
          <w:tcPr>
            <w:tcW w:w="440" w:type="dxa"/>
            <w:vAlign w:val="bottom"/>
            <w:shd w:val="clear" w:color="auto" w:fill="CCECFF"/>
          </w:tcPr>
          <w:p>
            <w:pPr>
              <w:spacing w:after="0"/>
              <w:rPr>
                <w:sz w:val="19"/>
                <w:szCs w:val="19"/>
                <w:color w:val="auto"/>
              </w:rPr>
            </w:pPr>
          </w:p>
        </w:tc>
        <w:tc>
          <w:tcPr>
            <w:tcW w:w="1600" w:type="dxa"/>
            <w:vAlign w:val="bottom"/>
            <w:shd w:val="clear" w:color="auto" w:fill="CCECFF"/>
          </w:tcPr>
          <w:p>
            <w:pPr>
              <w:jc w:val="right"/>
              <w:ind w:right="37"/>
              <w:spacing w:after="0"/>
              <w:rPr>
                <w:sz w:val="20"/>
                <w:szCs w:val="20"/>
                <w:color w:val="auto"/>
              </w:rPr>
            </w:pPr>
            <w:r>
              <w:rPr>
                <w:rFonts w:ascii="Arial" w:cs="Arial" w:eastAsia="Arial" w:hAnsi="Arial"/>
                <w:sz w:val="18"/>
                <w:szCs w:val="18"/>
                <w:color w:val="auto"/>
              </w:rPr>
              <w:t>34,137</w:t>
            </w:r>
          </w:p>
        </w:tc>
        <w:tc>
          <w:tcPr>
            <w:tcW w:w="24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1240" w:type="dxa"/>
            <w:vAlign w:val="bottom"/>
            <w:shd w:val="clear" w:color="auto" w:fill="CCECFF"/>
          </w:tcPr>
          <w:p>
            <w:pPr>
              <w:jc w:val="right"/>
              <w:ind w:right="55"/>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was $33.3 million for the three months ended March 31, 2021. This was primarily due to a $27.2 million net loss, $0.1 million of accretion of discount of marketable securities and a decrease of $8.8 million of operating assets and liabilities. These decreases were partially offset by $1.1 million amortization of operating lease right-of-use (ROU) assets, $0.3 million net reversal of non-cash stock-based compensation recognized as a result of forfeited awards from terminated employees, $0.1 million depreciation and amortization expense and a $1.6 million loss on the sale of purchased leased equipment in connection with the wind-down of the Microbiome program.</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was $25.2 million for the three months ended March 31, 2020. This was primarily due to a $26.7 million net loss, $0.1 million accretion of discount of marketable securities and a decrease of $4.6 million of operating assets and liabilities, which were offset by $4.9 million non-cash stock-based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compensation expense, $1.2 million amortization of operating lease ROU assets and $0.1 million depreciation and amortization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for the three months ended March 31, 2021 was $18.0 million due to $66.5 million of redemptions of marketable securities and $3.0 million of sale of marketable securities, which were partially offset by the purchase of $49.2 million of marketable securities. Additionally, the Company purchased leased equipment for $3.1 million that it sold for $0.9 million in connection with the wind-down of the Microbiome program.</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investing activities for the three months ended March 31, 2020 was $20.7 million due to $55.0 million of redemptions of marketable securities and $10.0 million of sale of marketable securities, which were partially offset by the purchase of $44.2 million of marketable securities and $0.1 million of property and equipment.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2021 was $34.1 million resulting from sale of 6.0 million shares of our common stock through “at-the-market” offerings, net of commissions and fees.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2020 was $0.1 million resulting from the exercise of stock options to purchase 16,834 shares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will need to obtain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most recently in March 2021. We expect to continue to raise capital when and as needed and at the time and in the manner most advantageous to us.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our existing cash, cash equivalents and marketable securities, will enable us to fund our operating expenses and capital expenditure requirements for at least the next twelve months. Our future capital requirements will depend on many factors, including:</w:t>
      </w:r>
    </w:p>
    <w:p>
      <w:pPr>
        <w:spacing w:after="0" w:line="130" w:lineRule="exact"/>
        <w:rPr>
          <w:sz w:val="20"/>
          <w:szCs w:val="20"/>
          <w:color w:val="auto"/>
        </w:rPr>
      </w:pPr>
    </w:p>
    <w:p>
      <w:pPr>
        <w:ind w:left="88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product candidates and technologies;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 and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Identifying potential product candidates and conducting nonclinical testing and clinical studies is a time-consuming, expensive and uncertain process that takes years to complete, and we may never generate the necessary data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our commitments under contractual obligations as disclosed in our 2020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compared to the quantitative and qualitative disclosures about market risk described in our 2020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Rules 13a-15(b) and 15d-15(b) as of the end of the period covered by this report. Based upon that evaluation, our Chief Executive Officer and our Chief Financial Officer concluded that our disclosure controls and procedures as of the end of the period covered by this report were effective at the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quarter ended March 31, 2021 that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a party to any material legal proceedings. In the future, we may from time to time become involved in litigation relating to claims arising from our ordinary course of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have no approved products and depend on the future success of our HBV program.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are not permitted to market or promote any product candidates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our product candidates are in clinical development or in varying stages of nonclinical development. Data supporting our drug discovery and nonclinical and clinical development programs are derived from laboratory studies, nonclinical studies and Phase 1 and Phase 2 clinical studies. It may be years before the larger, pivotal studies necessary to support regulatory approval of our current product candidates are completed, if ever.</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business.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continued spread of COVID-19 could adversely impact our research and development through delay, modification or suspension of our clinical and/or nonclinical studies. Other clinical-stage biotechnology companies, like us, have had their clinical and nonclinical studies affected by the COVID-19 pandemic.</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and may continue to: (1) impact patient enrollment, retention or compliance with clinical study protocols; (2) require modifications to, or deviations from, study protocols and procedures, such as the use of telehealth and home health visits instead of on-site monitoring and treatment, which could increase the cost of, and time for, conducting clinical studies; (3) disrupt or suspend the business operations of our third-party CROs, manufacturers of our drug candidates and the clinical sites conducting our clinical studies; (4) delay regulatory meetings and filings with regulatory agencies in the United States and other countries; and (5) disrupt supply chains and cause delays of shipments of critical reagents, PPE and disinfectants, each of which are necessary for our laboratories and our CROs’ laboratories to maintain normal workflows. Even if we are able to timely collect clinical data while the pandemic is ongoing, COVID-19 may negatively affect the quality, completeness, integrity, interpretability and cost of obtaining such clinical study data.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7"/>
          <w:szCs w:val="17"/>
          <w:color w:val="auto"/>
        </w:rPr>
        <w:t>The full extent of the pandemic’s impact on our business will depend on future developments, which are highly uncertain and cannot be predicted with confidence, such as the duration and severity of the pandemic and the effectiveness of actions for containment, treatment and prevention of COVID-19. However, any COVID-19-related business interruptions or delays could materially and adversely affect our ability to conduct our research and development activities in the manner and on the timelines presently planned as well as negatively affect the accuracy of our estimates regarding capital requirements, needs for additional financing and our ability to produce accurate and timely financial statements. Any of these disruptions could have a material adverse impact on our business, results of operations, financial condition and share price.</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COVID-19 pandemic, governments around the world implemented significant measures to control the spread of the virus, including quarantines, travel restrictions, stay-at-home orders and business shutdowns. While governments have relaxed these measures as cases numbers go down, periodic surges in COVID-19 cases have, and may in the future, prompted many governments to reimplement these restrictions, including in Europe and the United States. We continue to take precautionary measures intended to minimize our employees’ potential exposure to the virus, including temporarily requiring all employees who are able to do so to work remotely and suspending all non-essential business travel worldwide for our employees. Requiring our employees to work remotely may disrupt our operations, increase the risk of a cybersecurity incident or otherwise negatively affect our business.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risks related to the COVID-19 pandemic discussed above, the uncertainty surrounding, and risks created by, the pandemic may have the effect of heightening many of the other risks discussed in this section impacting our operations.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or debt financings and payments we may receive from out-licensing, collaborations or other strategic arrangements. However, there is no assurance that we will be successful in raising any necessary additional capital on terms that are acceptable to us, or at all. If we are unable to develop and commercialize any product candidates and generate sufficient revenue or raise capital, we could be forced to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commencement and rate of completion of clinical studies might be delayed by many factors, including, for example:</w:t>
      </w:r>
    </w:p>
    <w:p>
      <w:pPr>
        <w:spacing w:after="0" w:line="198" w:lineRule="exact"/>
        <w:rPr>
          <w:sz w:val="20"/>
          <w:szCs w:val="20"/>
          <w:color w:val="auto"/>
        </w:rPr>
      </w:pPr>
    </w:p>
    <w:p>
      <w:pPr>
        <w:ind w:left="5540" w:right="5080" w:hanging="5100"/>
        <w:spacing w:after="0" w:line="641" w:lineRule="auto"/>
        <w:tabs>
          <w:tab w:leader="none" w:pos="878"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delays in reaching agreement with regulatory authorities on study design;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demonstrate efficacy or the emergence of unforeseen safety issues;</w:t>
      </w:r>
    </w:p>
    <w:p>
      <w:pPr>
        <w:spacing w:after="0" w:line="211"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quantities of qualified materials under current good manufacturing practice (cGMP) for use in clinical studies due to manufacturing challenges, delays or interruptions in the supply chain;</w:t>
      </w:r>
    </w:p>
    <w:p>
      <w:pPr>
        <w:spacing w:after="0" w:line="129"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43"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patients completing participation in a study or return for post-treatment follow-up for any reason, including, product side effects or disease progression;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CROs to conduct some of our nonclinical and clinical studies due to our lack of suitable facilities and resources.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have sufficient facilities or resources to conduct all of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not be able to complete our clinical studies and may fail to obtain regulatory approval for our product candidates.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Furthermore,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studies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Top-line or preliminary data may not accurately reflect the final results of a particular study.</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publicly disclose top-line or preliminary data based on analysis of then-available efficacy, tolerability, pharmacokinetics and safety data, and the results and related findings and conclusions are subject to change following a more comprehensive review of the data related to the particular study. We also make assumptions, estimates, calculations and conclusions as part of our data analyses, and we may not have received or had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32" w:name="page33"/>
    <w:bookmarkEnd w:id="32"/>
    <w:p>
      <w:pPr>
        <w:jc w:val="both"/>
        <w:spacing w:after="0" w:line="279" w:lineRule="auto"/>
        <w:rPr>
          <w:sz w:val="20"/>
          <w:szCs w:val="20"/>
          <w:color w:val="auto"/>
        </w:rPr>
      </w:pPr>
      <w:r>
        <w:rPr>
          <w:rFonts w:ascii="Arial" w:cs="Arial" w:eastAsia="Arial" w:hAnsi="Arial"/>
          <w:sz w:val="17"/>
          <w:szCs w:val="17"/>
          <w:color w:val="auto"/>
        </w:rPr>
        <w:t>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top-line or preliminary results, the information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third-party manufacturers to supply the quantities of VBR, 2158 and 3733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compounds, drug substances and drug products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185" w:lineRule="exact"/>
        <w:rPr>
          <w:sz w:val="20"/>
          <w:szCs w:val="20"/>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be unable to formulate and manufacture our product candidates in the volume and quality required to meet our clinical and, if approved, commercial needs in a timely manner.</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products.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129"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ind w:left="8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increasing risk of misappropriation or disclosure of our intellectual property by or to third parties.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lose key management personnel and cannot recruit and retain similarly qualified replacements, our business may materially suffer.</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loss of any of these key employees could have a material adverse impact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designations for VBR and 2158 may not result in faster development, regulatory review or approval.</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nonclinical or clinical data demonstrate potential to address unmet medical needs for a serious or life-threatening condition, the sponsor may apply for FDA Fast Track designation. Fast Track designation provides increased opportunities for sponsor meetings with the FDA during nonclinical and clinical development, in addition to the potential for rolling review once a marketing application is filed. Both VBR and 2158 have received Fast Track designation for the treatment of patients with chronic HBV infection. However,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product development program. Any such withdrawal could adversely affect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an in-license relationship for VBR.</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license agreement with Indiana University Research and Technology Corporation (IURTC) imposes diligence requirements on us and requires us to make milestone payments based upon the successful accomplishment of clinical and regulatory milestones related to VBR, royalty payments if VBR is approved and diligence maintenance fees. These payments will make it less profitable for us to develop VBR than if we owned the technology outright. In addition, if we breach any of our obligations under our license agreement, IURTC may have a right to terminate the license, in which event we could lose our rights to VBR.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partners might delay, prevent, or undermine the success of our product candidates.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unsuccessful,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We rely on data provided by third parties that has not been independently verified and could prove to be false, misleading, or incomplete.</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and adversely affect our business, results of operations and financial condition.</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 of a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European Union’s General Data Protection Regulation (GDPR). We would also be exposed to a risk of loss or litigation and potential liability, which could materially adversely affect our business, results of operations and financial condition.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 for HBV is rapidly changing; we expect new data from commercial and clinical-stage products to continue to emerge. We compete with organizations, some with significantly more resources, who are developing competitive product candidates. If our competitors develop effective treatments for HBV or any other indication or field we might pursue, and successfully commercialize those treatments, our business and prospects could be materially harmed.</w:t>
      </w:r>
    </w:p>
    <w:p>
      <w:pPr>
        <w:spacing w:after="0" w:line="13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Other companies with core inhibitor products may produce negative clinical data, which would adversely affect public and clinical communities’ perceptions of our product candidates and may negatively impact regulatory approval of, or demand for, our potential products.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HBV therapy research and development efforts involve therapeutics based on modulating forms of HBV core proteins with core inhibitors. Negative data from clinical studies using a competitor’s core inhibitors could adversely impact the perception of the therapeutic use of our product candidates and our ability to enroll patients in clinical studies.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clinical and commercial success of our potential products will depend in part on the public and clinical communities’ acceptance of core inhibitors, a novel class of product candidates. Moreover, our success depends upon physicians prescribing, and their patients being willing to receive, treatments that involve the use of core inhibitor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core inhibitor therapies,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and Legal Environment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our collaborators,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penalties, withdrawals of previously approved marketing applications, recommendations by the FDA or other regulatory authorities against governmental contracts, and/or criminal prosecutions.</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Regulators globally are imposing greater monetary fines for privacy violations. The GDPR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and we may be required to put in place additional mechanisms to ensure compliance with the GDPR, including as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3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We do not carry hazardous materials liability insurance. We intend to obtain such insurance in the future, if necessary, but cannot give assurance that we will obtain such coverage.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failure to:</w:t>
      </w:r>
    </w:p>
    <w:p>
      <w:pPr>
        <w:spacing w:after="0" w:line="185"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applicable regulations of, and provide accurate information to, the FDA or comparable foreign regulatory authorities;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Bribery Act 2010, the PRC Criminal Law, the PRC Anti-unfair Competition Law and other anti-bribery and trade laws;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 financial information and data accurately; or</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 unauthorized activities.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international operations, including in China, and conduct clinical studies outside of the United States. A number of risks associated with international operations could materially and adversely affect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96" w:lineRule="exact"/>
        <w:rPr>
          <w:sz w:val="20"/>
          <w:szCs w:val="20"/>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tariffs, war and terrorism, natural disasters or outbreaks of disease.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and our licensors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also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Biotechnology and pharmaceutical product patents involve highly complex legal and scientific questions. Any patent applications that we own or license may fail to result in issued patents. In addition, the U.S. Patent and Trademark Office (the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Thus, even if we or our licensors obtain patents, the patents might be substantially narrower than anticipated.</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40" w:name="page41"/>
    <w:bookmarkEnd w:id="40"/>
    <w:p>
      <w:pPr>
        <w:jc w:val="both"/>
        <w:spacing w:after="0" w:line="290" w:lineRule="auto"/>
        <w:rPr>
          <w:sz w:val="20"/>
          <w:szCs w:val="20"/>
          <w:color w:val="auto"/>
        </w:rPr>
      </w:pPr>
      <w:r>
        <w:rPr>
          <w:rFonts w:ascii="Arial" w:cs="Arial" w:eastAsia="Arial" w:hAnsi="Arial"/>
          <w:sz w:val="16"/>
          <w:szCs w:val="16"/>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our patents and other intellectual property rights.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83" w:lineRule="exact"/>
        <w:rPr>
          <w:sz w:val="20"/>
          <w:szCs w:val="20"/>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223"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because of legal challenges by our competitors.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29" w:lineRule="exact"/>
        <w:rPr>
          <w:rFonts w:ascii="Arial" w:cs="Arial" w:eastAsia="Arial" w:hAnsi="Arial"/>
          <w:sz w:val="18"/>
          <w:szCs w:val="18"/>
          <w:color w:val="auto"/>
        </w:rPr>
      </w:pPr>
    </w:p>
    <w:p>
      <w:pPr>
        <w:jc w:val="both"/>
        <w:ind w:left="880" w:hanging="440"/>
        <w:spacing w:after="0" w:line="311"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and lower quality (having different ingredients or formulations, for example), and have the potential to damage the reputation for quality and effectiveness of the genuine product.</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counterfeit pharmaceuticals illegally sold or used for research result in adverse events or side effects to consumers, we may be associated with any negative publicity resulting from such incidents.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jc w:val="both"/>
        <w:spacing w:after="0" w:line="279" w:lineRule="auto"/>
        <w:rPr>
          <w:sz w:val="20"/>
          <w:szCs w:val="20"/>
          <w:color w:val="auto"/>
        </w:rPr>
      </w:pPr>
      <w:r>
        <w:rPr>
          <w:rFonts w:ascii="Arial" w:cs="Arial" w:eastAsia="Arial" w:hAnsi="Arial"/>
          <w:sz w:val="17"/>
          <w:szCs w:val="17"/>
          <w:color w:val="auto"/>
        </w:rPr>
        <w:t>In China, although the government has recently increased the lower and upper limits on penalties on producers of counterfeit and substandard pharmaceuticals, these penalties have not eliminated counterfeit pharmaceuticals. As a result, we may be unable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studies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quarterly report on Form 10-Q: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5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Filed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gridSpan w:val="2"/>
            <w:vMerge w:val="continue"/>
          </w:tcPr>
          <w:p>
            <w:pPr>
              <w:spacing w:after="0"/>
              <w:rPr>
                <w:sz w:val="12"/>
                <w:szCs w:val="12"/>
                <w:color w:val="auto"/>
              </w:rPr>
            </w:pPr>
          </w:p>
        </w:tc>
        <w:tc>
          <w:tcPr>
            <w:tcW w:w="570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Description of Document</w:t>
            </w:r>
          </w:p>
        </w:tc>
        <w:tc>
          <w:tcPr>
            <w:tcW w:w="8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2"/>
                <w:szCs w:val="12"/>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57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240"/>
          </w:cols>
          <w:pgMar w:left="320" w:top="337" w:right="339" w:bottom="1440" w:gutter="0" w:footer="0" w:header="0"/>
        </w:sectPr>
      </w:pPr>
    </w:p>
    <w:tbl>
      <w:tblPr>
        <w:tblLayout w:type="fixed"/>
        <w:tblInd w:w="100" w:type="dxa"/>
        <w:tblCellMar>
          <w:top w:w="0" w:type="dxa"/>
          <w:left w:w="0" w:type="dxa"/>
          <w:bottom w:w="0" w:type="dxa"/>
          <w:right w:w="0" w:type="dxa"/>
        </w:tblCellMar>
      </w:tblPr>
      <w:tr>
        <w:trPr>
          <w:trHeight w:val="207"/>
        </w:trPr>
        <w:tc>
          <w:tcPr>
            <w:tcW w:w="9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5140" w:type="dxa"/>
            <w:vAlign w:val="bottom"/>
            <w:tcBorders>
              <w:bottom w:val="single" w:sz="8" w:color="0000EE"/>
            </w:tcBorders>
            <w:gridSpan w:val="5"/>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Amended and Restated Bylaws of Assembly Biosciences, Inc, effective</w:t>
              </w:r>
            </w:hyperlink>
          </w:p>
        </w:tc>
        <w:tc>
          <w:tcPr>
            <w:tcW w:w="114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64">
              <w:r>
                <w:rPr>
                  <w:rFonts w:ascii="Arial" w:cs="Arial" w:eastAsia="Arial" w:hAnsi="Arial"/>
                  <w:sz w:val="18"/>
                  <w:szCs w:val="18"/>
                  <w:color w:val="0000EE"/>
                  <w:w w:val="87"/>
                </w:rPr>
                <w:t>January 22, 2021.</w:t>
              </w:r>
            </w:hyperlink>
          </w:p>
        </w:tc>
        <w:tc>
          <w:tcPr>
            <w:tcW w:w="386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r>
      <w:tr>
        <w:trPr>
          <w:trHeight w:val="277"/>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10.1#</w:t>
            </w:r>
          </w:p>
        </w:tc>
        <w:tc>
          <w:tcPr>
            <w:tcW w:w="5140" w:type="dxa"/>
            <w:vAlign w:val="bottom"/>
            <w:gridSpan w:val="5"/>
          </w:tcPr>
          <w:p>
            <w:pPr>
              <w:spacing w:after="0"/>
              <w:rPr>
                <w:rFonts w:ascii="Arial" w:cs="Arial" w:eastAsia="Arial" w:hAnsi="Arial"/>
                <w:sz w:val="18"/>
                <w:szCs w:val="18"/>
                <w:color w:val="0000EE"/>
              </w:rPr>
            </w:pPr>
            <w:hyperlink r:id="rId65">
              <w:r>
                <w:rPr>
                  <w:rFonts w:ascii="Arial" w:cs="Arial" w:eastAsia="Arial" w:hAnsi="Arial"/>
                  <w:sz w:val="18"/>
                  <w:szCs w:val="18"/>
                  <w:color w:val="0000EE"/>
                </w:rPr>
                <w:t>Assembly Biosciences, Inc. 2021 Corporate Bonus Plan.</w:t>
              </w:r>
            </w:hyperlink>
          </w:p>
        </w:tc>
        <w:tc>
          <w:tcPr>
            <w:tcW w:w="11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7"/>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31.1</w:t>
            </w:r>
          </w:p>
        </w:tc>
        <w:tc>
          <w:tcPr>
            <w:tcW w:w="5140" w:type="dxa"/>
            <w:vAlign w:val="bottom"/>
            <w:gridSpan w:val="5"/>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Certification of Chief Executive Officer Pursuant to Section 302 of the</w:t>
              </w:r>
            </w:hyperlink>
          </w:p>
        </w:tc>
        <w:tc>
          <w:tcPr>
            <w:tcW w:w="1140" w:type="dxa"/>
            <w:vAlign w:val="bottom"/>
          </w:tcPr>
          <w:p>
            <w:pPr>
              <w:ind w:left="1020"/>
              <w:spacing w:after="0"/>
              <w:rPr>
                <w:sz w:val="20"/>
                <w:szCs w:val="20"/>
                <w:color w:val="auto"/>
              </w:rPr>
            </w:pPr>
            <w:r>
              <w:rPr>
                <w:rFonts w:ascii="Arial" w:cs="Arial" w:eastAsia="Arial" w:hAnsi="Arial"/>
                <w:sz w:val="18"/>
                <w:szCs w:val="18"/>
                <w:color w:val="auto"/>
                <w:w w:val="82"/>
              </w:rPr>
              <w:t>X</w:t>
            </w:r>
          </w:p>
        </w:tc>
      </w:tr>
      <w:tr>
        <w:trPr>
          <w:trHeight w:val="196"/>
        </w:trPr>
        <w:tc>
          <w:tcPr>
            <w:tcW w:w="9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Sarbanes-Oxley Act of 2002.</w:t>
              </w:r>
            </w:hyperlink>
          </w:p>
        </w:tc>
        <w:tc>
          <w:tcPr>
            <w:tcW w:w="298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tabs>
          <w:tab w:leader="none" w:pos="920" w:val="left"/>
          <w:tab w:leader="none" w:pos="23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01/27/2021</w:t>
      </w:r>
      <w:r>
        <w:rPr>
          <w:sz w:val="20"/>
          <w:szCs w:val="20"/>
          <w:color w:val="auto"/>
        </w:rPr>
        <w:tab/>
      </w:r>
      <w:r>
        <w:rPr>
          <w:rFonts w:ascii="Arial" w:cs="Arial" w:eastAsia="Arial" w:hAnsi="Arial"/>
          <w:sz w:val="15"/>
          <w:szCs w:val="15"/>
          <w:color w:val="auto"/>
        </w:rPr>
        <w:t>3.1</w:t>
      </w:r>
    </w:p>
    <w:p>
      <w:pPr>
        <w:spacing w:after="0" w:line="198" w:lineRule="exact"/>
        <w:rPr>
          <w:sz w:val="20"/>
          <w:szCs w:val="20"/>
          <w:color w:val="auto"/>
        </w:rPr>
      </w:pPr>
    </w:p>
    <w:p>
      <w:pPr>
        <w:spacing w:after="0"/>
        <w:tabs>
          <w:tab w:leader="none" w:pos="920" w:val="left"/>
          <w:tab w:leader="none" w:pos="23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02/17/2021</w:t>
      </w:r>
      <w:r>
        <w:rPr>
          <w:sz w:val="20"/>
          <w:szCs w:val="20"/>
          <w:color w:val="auto"/>
        </w:rPr>
        <w:tab/>
      </w:r>
      <w:r>
        <w:rPr>
          <w:rFonts w:ascii="Arial" w:cs="Arial" w:eastAsia="Arial" w:hAnsi="Arial"/>
          <w:sz w:val="16"/>
          <w:szCs w:val="16"/>
          <w:color w:val="auto"/>
        </w:rPr>
        <w:t>10.1</w:t>
      </w:r>
    </w:p>
    <w:p>
      <w:pPr>
        <w:spacing w:after="0" w:line="586" w:lineRule="exact"/>
        <w:rPr>
          <w:sz w:val="20"/>
          <w:szCs w:val="20"/>
          <w:color w:val="auto"/>
        </w:rPr>
      </w:pPr>
    </w:p>
    <w:p>
      <w:pPr>
        <w:sectPr>
          <w:pgSz w:w="11900" w:h="16838" w:orient="portrait"/>
          <w:cols w:equalWidth="0" w:num="2">
            <w:col w:w="7500" w:space="720"/>
            <w:col w:w="302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582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Certification of the Chief Financial Officer Pursuant to Section 302 of the</w:t>
              </w:r>
            </w:hyperlink>
          </w:p>
        </w:tc>
        <w:tc>
          <w:tcPr>
            <w:tcW w:w="460" w:type="dxa"/>
            <w:vAlign w:val="bottom"/>
          </w:tcPr>
          <w:p>
            <w:pPr>
              <w:ind w:left="340"/>
              <w:spacing w:after="0"/>
              <w:rPr>
                <w:sz w:val="20"/>
                <w:szCs w:val="20"/>
                <w:color w:val="auto"/>
              </w:rPr>
            </w:pPr>
            <w:r>
              <w:rPr>
                <w:rFonts w:ascii="Arial" w:cs="Arial" w:eastAsia="Arial" w:hAnsi="Arial"/>
                <w:sz w:val="18"/>
                <w:szCs w:val="18"/>
                <w:color w:val="auto"/>
                <w:w w:val="82"/>
              </w:rPr>
              <w:t>X</w:t>
            </w:r>
          </w:p>
        </w:tc>
      </w:tr>
      <w:tr>
        <w:trPr>
          <w:trHeight w:val="196"/>
        </w:trPr>
        <w:tc>
          <w:tcPr>
            <w:tcW w:w="104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Sarbanes-Oxley Act of 2002.</w:t>
              </w:r>
            </w:hyperlink>
          </w:p>
        </w:tc>
        <w:tc>
          <w:tcPr>
            <w:tcW w:w="3200" w:type="dxa"/>
            <w:vAlign w:val="bottom"/>
            <w:tcBorders>
              <w:top w:val="single" w:sz="8" w:color="0000EE"/>
            </w:tcBorders>
            <w:gridSpan w:val="2"/>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5820" w:type="dxa"/>
            <w:vAlign w:val="bottom"/>
            <w:gridSpan w:val="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Certification of Chief Executive Officer Pursuant to Section 906 of the</w:t>
              </w:r>
            </w:hyperlink>
          </w:p>
        </w:tc>
        <w:tc>
          <w:tcPr>
            <w:tcW w:w="460" w:type="dxa"/>
            <w:vAlign w:val="bottom"/>
          </w:tcPr>
          <w:p>
            <w:pPr>
              <w:ind w:left="340"/>
              <w:spacing w:after="0"/>
              <w:rPr>
                <w:sz w:val="20"/>
                <w:szCs w:val="20"/>
                <w:color w:val="auto"/>
              </w:rPr>
            </w:pPr>
            <w:r>
              <w:rPr>
                <w:rFonts w:ascii="Arial" w:cs="Arial" w:eastAsia="Arial" w:hAnsi="Arial"/>
                <w:sz w:val="18"/>
                <w:szCs w:val="18"/>
                <w:color w:val="auto"/>
                <w:w w:val="82"/>
              </w:rPr>
              <w:t>X</w:t>
            </w:r>
          </w:p>
        </w:tc>
      </w:tr>
      <w:tr>
        <w:trPr>
          <w:trHeight w:val="196"/>
        </w:trPr>
        <w:tc>
          <w:tcPr>
            <w:tcW w:w="104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Sarbanes-Oxley Act of 2002.</w:t>
              </w:r>
            </w:hyperlink>
          </w:p>
        </w:tc>
        <w:tc>
          <w:tcPr>
            <w:tcW w:w="2980" w:type="dxa"/>
            <w:vAlign w:val="bottom"/>
            <w:tcBorders>
              <w:top w:val="single" w:sz="8" w:color="0000EE"/>
            </w:tcBorders>
          </w:tcPr>
          <w:p>
            <w:pPr>
              <w:spacing w:after="0"/>
              <w:rPr>
                <w:sz w:val="17"/>
                <w:szCs w:val="17"/>
                <w:color w:val="auto"/>
              </w:rPr>
            </w:pPr>
          </w:p>
        </w:tc>
        <w:tc>
          <w:tcPr>
            <w:tcW w:w="74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582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Certification of the Chief Financial Officer Pursuant to Section 906 of the</w:t>
              </w:r>
            </w:hyperlink>
          </w:p>
        </w:tc>
        <w:tc>
          <w:tcPr>
            <w:tcW w:w="460" w:type="dxa"/>
            <w:vAlign w:val="bottom"/>
          </w:tcPr>
          <w:p>
            <w:pPr>
              <w:ind w:left="340"/>
              <w:spacing w:after="0"/>
              <w:rPr>
                <w:sz w:val="20"/>
                <w:szCs w:val="20"/>
                <w:color w:val="auto"/>
              </w:rPr>
            </w:pPr>
            <w:r>
              <w:rPr>
                <w:rFonts w:ascii="Arial" w:cs="Arial" w:eastAsia="Arial" w:hAnsi="Arial"/>
                <w:sz w:val="18"/>
                <w:szCs w:val="18"/>
                <w:color w:val="auto"/>
                <w:w w:val="82"/>
              </w:rPr>
              <w:t>X</w:t>
            </w:r>
          </w:p>
        </w:tc>
      </w:tr>
      <w:tr>
        <w:trPr>
          <w:trHeight w:val="196"/>
        </w:trPr>
        <w:tc>
          <w:tcPr>
            <w:tcW w:w="104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Sarbanes-Oxley Act of 2002.</w:t>
              </w:r>
            </w:hyperlink>
          </w:p>
        </w:tc>
        <w:tc>
          <w:tcPr>
            <w:tcW w:w="3200" w:type="dxa"/>
            <w:vAlign w:val="bottom"/>
            <w:tcBorders>
              <w:top w:val="single" w:sz="8" w:color="0000EE"/>
            </w:tcBorders>
            <w:gridSpan w:val="2"/>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82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460" w:type="dxa"/>
            <w:vAlign w:val="bottom"/>
          </w:tcPr>
          <w:p>
            <w:pPr>
              <w:ind w:left="340"/>
              <w:spacing w:after="0"/>
              <w:rPr>
                <w:sz w:val="20"/>
                <w:szCs w:val="20"/>
                <w:color w:val="auto"/>
              </w:rPr>
            </w:pPr>
            <w:r>
              <w:rPr>
                <w:rFonts w:ascii="Arial" w:cs="Arial" w:eastAsia="Arial" w:hAnsi="Arial"/>
                <w:sz w:val="18"/>
                <w:szCs w:val="18"/>
                <w:color w:val="auto"/>
                <w:w w:val="82"/>
              </w:rPr>
              <w:t>X</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82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60" w:type="dxa"/>
            <w:vAlign w:val="bottom"/>
          </w:tcPr>
          <w:p>
            <w:pPr>
              <w:ind w:left="340"/>
              <w:spacing w:after="0"/>
              <w:rPr>
                <w:sz w:val="20"/>
                <w:szCs w:val="20"/>
                <w:color w:val="auto"/>
              </w:rPr>
            </w:pPr>
            <w:r>
              <w:rPr>
                <w:rFonts w:ascii="Arial" w:cs="Arial" w:eastAsia="Arial" w:hAnsi="Arial"/>
                <w:sz w:val="18"/>
                <w:szCs w:val="18"/>
                <w:color w:val="auto"/>
                <w:w w:val="82"/>
              </w:rPr>
              <w:t>X</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82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60" w:type="dxa"/>
            <w:vAlign w:val="bottom"/>
          </w:tcPr>
          <w:p>
            <w:pPr>
              <w:ind w:left="340"/>
              <w:spacing w:after="0"/>
              <w:rPr>
                <w:sz w:val="20"/>
                <w:szCs w:val="20"/>
                <w:color w:val="auto"/>
              </w:rPr>
            </w:pPr>
            <w:r>
              <w:rPr>
                <w:rFonts w:ascii="Arial" w:cs="Arial" w:eastAsia="Arial" w:hAnsi="Arial"/>
                <w:sz w:val="18"/>
                <w:szCs w:val="18"/>
                <w:color w:val="auto"/>
                <w:w w:val="82"/>
              </w:rPr>
              <w:t>X</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82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60" w:type="dxa"/>
            <w:vAlign w:val="bottom"/>
          </w:tcPr>
          <w:p>
            <w:pPr>
              <w:ind w:left="340"/>
              <w:spacing w:after="0"/>
              <w:rPr>
                <w:sz w:val="20"/>
                <w:szCs w:val="20"/>
                <w:color w:val="auto"/>
              </w:rPr>
            </w:pPr>
            <w:r>
              <w:rPr>
                <w:rFonts w:ascii="Arial" w:cs="Arial" w:eastAsia="Arial" w:hAnsi="Arial"/>
                <w:sz w:val="18"/>
                <w:szCs w:val="18"/>
                <w:color w:val="auto"/>
                <w:w w:val="82"/>
              </w:rPr>
              <w:t>X</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82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60" w:type="dxa"/>
            <w:vAlign w:val="bottom"/>
          </w:tcPr>
          <w:p>
            <w:pPr>
              <w:ind w:left="340"/>
              <w:spacing w:after="0"/>
              <w:rPr>
                <w:sz w:val="20"/>
                <w:szCs w:val="20"/>
                <w:color w:val="auto"/>
              </w:rPr>
            </w:pPr>
            <w:r>
              <w:rPr>
                <w:rFonts w:ascii="Arial" w:cs="Arial" w:eastAsia="Arial" w:hAnsi="Arial"/>
                <w:sz w:val="18"/>
                <w:szCs w:val="18"/>
                <w:color w:val="auto"/>
                <w:w w:val="82"/>
              </w:rPr>
              <w:t>X</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5820" w:type="dxa"/>
            <w:vAlign w:val="bottom"/>
            <w:gridSpan w:val="4"/>
          </w:tcPr>
          <w:p>
            <w:pPr>
              <w:spacing w:after="0"/>
              <w:rPr>
                <w:sz w:val="20"/>
                <w:szCs w:val="20"/>
                <w:color w:val="auto"/>
              </w:rPr>
            </w:pPr>
            <w:r>
              <w:rPr>
                <w:rFonts w:ascii="Arial" w:cs="Arial" w:eastAsia="Arial" w:hAnsi="Arial"/>
                <w:sz w:val="18"/>
                <w:szCs w:val="18"/>
                <w:color w:val="auto"/>
                <w:w w:val="97"/>
              </w:rPr>
              <w:t>Cover Page Interactive Data File (formatted as inline XBRL with applicable</w:t>
            </w:r>
          </w:p>
        </w:tc>
        <w:tc>
          <w:tcPr>
            <w:tcW w:w="460" w:type="dxa"/>
            <w:vAlign w:val="bottom"/>
          </w:tcPr>
          <w:p>
            <w:pPr>
              <w:ind w:left="340"/>
              <w:spacing w:after="0"/>
              <w:rPr>
                <w:sz w:val="20"/>
                <w:szCs w:val="20"/>
                <w:color w:val="auto"/>
              </w:rPr>
            </w:pPr>
            <w:r>
              <w:rPr>
                <w:rFonts w:ascii="Arial" w:cs="Arial" w:eastAsia="Arial" w:hAnsi="Arial"/>
                <w:sz w:val="18"/>
                <w:szCs w:val="18"/>
                <w:color w:val="auto"/>
                <w:w w:val="82"/>
              </w:rPr>
              <w:t>X</w:t>
            </w:r>
          </w:p>
        </w:tc>
      </w:tr>
      <w:tr>
        <w:trPr>
          <w:trHeight w:val="230"/>
        </w:trPr>
        <w:tc>
          <w:tcPr>
            <w:tcW w:w="1040" w:type="dxa"/>
            <w:vAlign w:val="bottom"/>
          </w:tcPr>
          <w:p>
            <w:pPr>
              <w:spacing w:after="0"/>
              <w:rPr>
                <w:sz w:val="20"/>
                <w:szCs w:val="20"/>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460" w:type="dxa"/>
            <w:vAlign w:val="bottom"/>
          </w:tcPr>
          <w:p>
            <w:pPr>
              <w:spacing w:after="0"/>
              <w:rPr>
                <w:sz w:val="20"/>
                <w:szCs w:val="20"/>
                <w:color w:val="auto"/>
              </w:rPr>
            </w:pPr>
          </w:p>
        </w:tc>
      </w:tr>
    </w:tbl>
    <w:p>
      <w:pPr>
        <w:spacing w:after="0" w:line="202"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management contracts or compensatory plans or arrangements.</w:t>
      </w:r>
    </w:p>
    <w:p>
      <w:pPr>
        <w:spacing w:after="0" w:line="23" w:lineRule="exact"/>
        <w:rPr>
          <w:sz w:val="20"/>
          <w:szCs w:val="20"/>
          <w:color w:val="auto"/>
        </w:rPr>
      </w:pPr>
    </w:p>
    <w:p>
      <w:pPr>
        <w:jc w:val="both"/>
        <w:ind w:left="580" w:hanging="572"/>
        <w:spacing w:after="0" w:line="253"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Quarterly Report on Form 10-Q are not deemed filed with the SEC and are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6, 2021</w:t>
            </w:r>
          </w:p>
        </w:tc>
        <w:tc>
          <w:tcPr>
            <w:tcW w:w="2640" w:type="dxa"/>
            <w:vAlign w:val="bottom"/>
          </w:tcPr>
          <w:p>
            <w:pPr>
              <w:ind w:left="22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6, 2021</w:t>
            </w:r>
          </w:p>
        </w:tc>
        <w:tc>
          <w:tcPr>
            <w:tcW w:w="2640" w:type="dxa"/>
            <w:vAlign w:val="bottom"/>
          </w:tcPr>
          <w:p>
            <w:pPr>
              <w:ind w:left="22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Russo, CFA</w:t>
            </w:r>
          </w:p>
        </w:tc>
      </w:tr>
      <w:tr>
        <w:trPr>
          <w:trHeight w:val="195"/>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Thomas J. Russo, CFA</w:t>
            </w:r>
          </w:p>
        </w:tc>
      </w:tr>
      <w:tr>
        <w:trPr>
          <w:trHeight w:val="216"/>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648"/>
        </w:trPr>
        <w:tc>
          <w:tcPr>
            <w:tcW w:w="3440" w:type="dxa"/>
            <w:vAlign w:val="bottom"/>
          </w:tcPr>
          <w:p>
            <w:pPr>
              <w:spacing w:after="0"/>
              <w:rPr>
                <w:sz w:val="24"/>
                <w:szCs w:val="24"/>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43</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G. McHutchison, A.O., M.D., certify that:</w:t>
      </w:r>
    </w:p>
    <w:p>
      <w:pPr>
        <w:spacing w:after="0" w:line="198" w:lineRule="exact"/>
        <w:rPr>
          <w:sz w:val="20"/>
          <w:szCs w:val="20"/>
          <w:color w:val="auto"/>
        </w:rPr>
      </w:pPr>
    </w:p>
    <w:p>
      <w:pPr>
        <w:ind w:left="580" w:hanging="572"/>
        <w:spacing w:after="0" w:line="207" w:lineRule="exact"/>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24" w:lineRule="exact"/>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58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hanging="572"/>
        <w:spacing w:after="0" w:line="342" w:lineRule="auto"/>
        <w:tabs>
          <w:tab w:leader="none" w:pos="11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5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Thomas J. Russo, CFA, certify that:</w:t>
      </w:r>
    </w:p>
    <w:p>
      <w:pPr>
        <w:spacing w:after="0" w:line="198" w:lineRule="exact"/>
        <w:rPr>
          <w:sz w:val="20"/>
          <w:szCs w:val="20"/>
          <w:color w:val="auto"/>
        </w:rPr>
      </w:pPr>
    </w:p>
    <w:p>
      <w:pPr>
        <w:ind w:left="580" w:hanging="572"/>
        <w:spacing w:after="0" w:line="207" w:lineRule="exact"/>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24" w:lineRule="exact"/>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58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hanging="572"/>
        <w:spacing w:after="0" w:line="342" w:lineRule="auto"/>
        <w:tabs>
          <w:tab w:leader="none" w:pos="11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Russo, CFA</w:t>
            </w:r>
          </w:p>
        </w:tc>
      </w:tr>
      <w:tr>
        <w:trPr>
          <w:trHeight w:val="195"/>
        </w:trPr>
        <w:tc>
          <w:tcPr>
            <w:tcW w:w="5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Thomas J. Russo, CFA</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6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Assembly Biosciences, Inc. (the Company) for the period ended March 31, 2021 as filed with the Securities and Exchange Commission on or about the date hereof (the Report), I, John G. McHutchison, A.O., M.D., Chief Executive Officer, hereby certify, pursuant to 18 U.S.C. Section 1350, as adopted pursuant to Section 906 of the Sarbanes-Oxley Act of 2002, that, to my knowledge:</w:t>
      </w:r>
    </w:p>
    <w:p>
      <w:pPr>
        <w:spacing w:after="0" w:line="175" w:lineRule="exact"/>
        <w:rPr>
          <w:sz w:val="20"/>
          <w:szCs w:val="20"/>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G. McHutchison, A.O., M.D.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Assembly Biosciences, Inc. (the Company) for the period ended March 31, 2021 as filed with the Securities and Exchange Commission on or about the date hereof (the Report), I, Thomas J. Russo, CFA, Chief Financial Officer, hereby certify, pursuant to 18 U.S.C. Section 1350, as adopted pursuant to Section 906 of the Sarbanes-Oxley Act of 2002, that, to my knowledge:</w:t>
      </w:r>
    </w:p>
    <w:p>
      <w:pPr>
        <w:spacing w:after="0" w:line="175" w:lineRule="exact"/>
        <w:rPr>
          <w:sz w:val="20"/>
          <w:szCs w:val="20"/>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J. Russo,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Russo, CFA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May 6,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4" Type="http://schemas.openxmlformats.org/officeDocument/2006/relationships/hyperlink" Target="http://www.sec.gov/Archives/edgar/data/0001426800/000156459021002592/asmb-ex31_15.htm" TargetMode="External"/><Relationship Id="rId65" Type="http://schemas.openxmlformats.org/officeDocument/2006/relationships/hyperlink" Target="http://www.sec.gov/Archives/edgar/data/0001426800/000156459021006414/asmb-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2021-05-06T16:15:29Z</dcterms:created>
  <dcterms:modified xsi:type="dcterms:W3CDTF">2021-05-06T16:15:29Z</dcterms:modified>
</cp:coreProperties>
</file>