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smb-20250930.htm"/>
      <w:bookmarkStart w:id="1" w:name="ksasmb20250930"/>
      <w:bookmarkEnd w:id="0"/>
      <w:bookmarkEnd w:id="1"/>
      <w:r>
        <w:rPr/>
        <w:t> </w:t>
      </w:r>
    </w:p>
    <w:p>
      <w:pPr>
        <w:pStyle w:val="TextBody"/>
        <w:pBdr>
          <w:bottom w:val="double" w:sz="4" w:space="1" w:color="000000"/>
        </w:pBdr>
        <w:bidi w:val="0"/>
        <w:jc w:val="left"/>
        <w:rPr/>
      </w:pPr>
      <w:r>
        <w:rPr/>
        <w:t> </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pBdr>
          <w:bottom w:val="single" w:sz="4" w:space="1" w:color="000000"/>
        </w:pBdr>
        <w:bidi w:val="0"/>
        <w:spacing w:before="0" w:after="12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FORM 10-Q</w:t>
      </w:r>
    </w:p>
    <w:p>
      <w:pPr>
        <w:pStyle w:val="TextBody"/>
        <w:pBdr>
          <w:bottom w:val="single" w:sz="4" w:space="1" w:color="000000"/>
        </w:pBdr>
        <w:bidi w:val="0"/>
        <w:jc w:val="center"/>
        <w:rPr/>
      </w:pPr>
      <w:r>
        <w:rPr/>
        <w:t> </w:t>
      </w:r>
    </w:p>
    <w:p>
      <w:pPr>
        <w:pStyle w:val="TextBody"/>
        <w:bidi w:val="0"/>
        <w:jc w:val="both"/>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QUARTERLY REPORT PURSUANT TO SECTION 13 OR 15(d) OF THE SECURITIES EXCHANGE ACT OF 1934</w:t>
            </w:r>
          </w:p>
        </w:tc>
      </w:tr>
    </w:tbl>
    <w:p>
      <w:pPr>
        <w:pStyle w:val="TextBody"/>
        <w:bidi w:val="0"/>
        <w:jc w:val="both"/>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For the quarterly period ended September 30, 2025</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OR</w:t>
      </w:r>
    </w:p>
    <w:p>
      <w:pPr>
        <w:pStyle w:val="TextBody"/>
        <w:bidi w:val="0"/>
        <w:jc w:val="both"/>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jc w:val="both"/>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For the transition period from ___________to___________.</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Commission file number: 001-35005</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ASSEMBLY BIOSCIENCES, INC.</w:t>
      </w:r>
    </w:p>
    <w:p>
      <w:pPr>
        <w:pStyle w:val="TextBody"/>
        <w:bidi w:val="0"/>
        <w:jc w:val="center"/>
        <w:rPr>
          <w:rFonts w:ascii="Times New Roman" w:hAnsi="Times New Roman"/>
          <w:color w:val="000000"/>
          <w:sz w:val="18"/>
        </w:rPr>
      </w:pPr>
      <w:r>
        <w:rPr>
          <w:rFonts w:ascii="Times New Roman" w:hAnsi="Times New Roman"/>
          <w:color w:val="000000"/>
          <w:sz w:val="18"/>
        </w:rPr>
        <w:t>(Exact name of Registrant as specified in its charter)</w:t>
      </w:r>
    </w:p>
    <w:p>
      <w:pPr>
        <w:pStyle w:val="TextBody"/>
        <w:bidi w:val="0"/>
        <w:jc w:val="both"/>
        <w:rPr/>
      </w:pPr>
      <w:r>
        <w:rPr/>
        <w:t> </w:t>
      </w:r>
    </w:p>
    <w:tbl>
      <w:tblPr>
        <w:tblW w:w="4952" w:type="dxa"/>
        <w:jc w:val="left"/>
        <w:tblInd w:w="0" w:type="dxa"/>
        <w:tblLayout w:type="fixed"/>
        <w:tblCellMar>
          <w:top w:w="28" w:type="dxa"/>
          <w:left w:w="28" w:type="dxa"/>
          <w:bottom w:w="28" w:type="dxa"/>
          <w:right w:w="28" w:type="dxa"/>
        </w:tblCellMar>
      </w:tblPr>
      <w:tblGrid>
        <w:gridCol w:w="2236"/>
        <w:gridCol w:w="2716"/>
      </w:tblGrid>
      <w:tr>
        <w:trPr/>
        <w:tc>
          <w:tcPr>
            <w:tcW w:w="2236"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27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20-8729264</w:t>
            </w:r>
          </w:p>
        </w:tc>
      </w:tr>
      <w:tr>
        <w:trPr/>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(State or other jurisdiction of</w:t>
            </w:r>
          </w:p>
        </w:tc>
        <w:tc>
          <w:tcPr>
            <w:tcW w:w="27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(I.R.S. Employer Identification No.)</w:t>
            </w:r>
          </w:p>
        </w:tc>
      </w:tr>
      <w:tr>
        <w:trPr/>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incorporation or organization)</w:t>
            </w:r>
          </w:p>
        </w:tc>
        <w:tc>
          <w:tcPr>
            <w:tcW w:w="271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3782" w:type="dxa"/>
        <w:jc w:val="left"/>
        <w:tblInd w:w="0" w:type="dxa"/>
        <w:tblLayout w:type="fixed"/>
        <w:tblCellMar>
          <w:top w:w="28" w:type="dxa"/>
          <w:left w:w="28" w:type="dxa"/>
          <w:bottom w:w="28" w:type="dxa"/>
          <w:right w:w="28" w:type="dxa"/>
        </w:tblCellMar>
      </w:tblPr>
      <w:tblGrid>
        <w:gridCol w:w="2926"/>
        <w:gridCol w:w="856"/>
      </w:tblGrid>
      <w:tr>
        <w:trPr/>
        <w:tc>
          <w:tcPr>
            <w:tcW w:w="292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Two Tower Place, 7th Floor</w:t>
            </w:r>
          </w:p>
        </w:tc>
        <w:tc>
          <w:tcPr>
            <w:tcW w:w="8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South San Francisco, California</w:t>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94080</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(Address of principal executive offices)</w:t>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(zip code)</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(833) 509-4583</w:t>
      </w:r>
    </w:p>
    <w:p>
      <w:pPr>
        <w:pStyle w:val="TextBody"/>
        <w:bidi w:val="0"/>
        <w:jc w:val="center"/>
        <w:rPr>
          <w:rFonts w:ascii="Times New Roman" w:hAnsi="Times New Roman"/>
          <w:color w:val="000000"/>
          <w:sz w:val="18"/>
        </w:rPr>
      </w:pPr>
      <w:r>
        <w:rPr>
          <w:rFonts w:ascii="Times New Roman" w:hAnsi="Times New Roman"/>
          <w:color w:val="000000"/>
          <w:sz w:val="18"/>
        </w:rPr>
        <w:t>(Registrant’s telephone number, including area code)</w:t>
      </w:r>
    </w:p>
    <w:p>
      <w:pPr>
        <w:pStyle w:val="TextBody"/>
        <w:pBdr>
          <w:bottom w:val="single" w:sz="4" w:space="1" w:color="000000"/>
        </w:pBdr>
        <w:bidi w:val="0"/>
        <w:spacing w:before="0" w:after="12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both"/>
        <w:rPr/>
      </w:pPr>
      <w:r>
        <w:rPr/>
        <w:t> </w:t>
      </w:r>
    </w:p>
    <w:tbl>
      <w:tblPr>
        <w:tblW w:w="7158" w:type="dxa"/>
        <w:jc w:val="left"/>
        <w:tblInd w:w="0" w:type="dxa"/>
        <w:tblLayout w:type="fixed"/>
        <w:tblCellMar>
          <w:top w:w="28" w:type="dxa"/>
          <w:left w:w="28" w:type="dxa"/>
          <w:bottom w:w="28" w:type="dxa"/>
          <w:right w:w="28" w:type="dxa"/>
        </w:tblCellMar>
      </w:tblPr>
      <w:tblGrid>
        <w:gridCol w:w="2506"/>
        <w:gridCol w:w="1426"/>
        <w:gridCol w:w="3226"/>
      </w:tblGrid>
      <w:tr>
        <w:trPr/>
        <w:tc>
          <w:tcPr>
            <w:tcW w:w="250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25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40" w:after="283"/>
              <w:jc w:val="center"/>
              <w:rPr>
                <w:rFonts w:ascii="Times New Roman" w:hAnsi="Times New Roman"/>
                <w:color w:val="000000"/>
                <w:sz w:val="16"/>
              </w:rPr>
            </w:pPr>
            <w:r>
              <w:rPr>
                <w:rFonts w:ascii="Times New Roman" w:hAnsi="Times New Roman"/>
                <w:color w:val="000000"/>
                <w:sz w:val="16"/>
              </w:rPr>
              <w:t>Title of each class</w:t>
            </w:r>
          </w:p>
        </w:tc>
        <w:tc>
          <w:tcPr>
            <w:tcW w:w="142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40" w:after="283"/>
              <w:jc w:val="center"/>
              <w:rPr>
                <w:rFonts w:ascii="Times New Roman" w:hAnsi="Times New Roman"/>
                <w:color w:val="000000"/>
                <w:sz w:val="16"/>
              </w:rPr>
            </w:pPr>
            <w:r>
              <w:rPr>
                <w:rFonts w:ascii="Times New Roman" w:hAnsi="Times New Roman"/>
                <w:color w:val="000000"/>
                <w:sz w:val="16"/>
              </w:rPr>
              <w:t>Trading Symbol(s)</w:t>
            </w:r>
          </w:p>
        </w:tc>
        <w:tc>
          <w:tcPr>
            <w:tcW w:w="322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40" w:after="283"/>
              <w:jc w:val="center"/>
              <w:rPr>
                <w:rFonts w:ascii="Times New Roman" w:hAnsi="Times New Roman"/>
                <w:color w:val="000000"/>
                <w:sz w:val="16"/>
              </w:rPr>
            </w:pPr>
            <w:r>
              <w:rPr>
                <w:rFonts w:ascii="Times New Roman" w:hAnsi="Times New Roman"/>
                <w:color w:val="000000"/>
                <w:sz w:val="16"/>
              </w:rPr>
              <w:t>Name of each exchange on which registered</w:t>
            </w:r>
          </w:p>
        </w:tc>
      </w:tr>
      <w:tr>
        <w:trPr/>
        <w:tc>
          <w:tcPr>
            <w:tcW w:w="250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40" w:after="283"/>
              <w:jc w:val="center"/>
              <w:rPr>
                <w:rFonts w:ascii="Times New Roman" w:hAnsi="Times New Roman"/>
                <w:color w:val="000000"/>
                <w:sz w:val="18"/>
              </w:rPr>
            </w:pPr>
            <w:r>
              <w:rPr>
                <w:rFonts w:ascii="Times New Roman" w:hAnsi="Times New Roman"/>
                <w:color w:val="000000"/>
                <w:sz w:val="18"/>
              </w:rPr>
              <w:t>Common Stock, par value $0.001</w:t>
            </w:r>
          </w:p>
        </w:tc>
        <w:tc>
          <w:tcPr>
            <w:tcW w:w="1426" w:type="dxa"/>
            <w:tcBorders>
              <w:bottom w:val="single" w:sz="8" w:space="0" w:color="000000"/>
              <w:right w:val="single" w:sz="8" w:space="0" w:color="000000"/>
            </w:tcBorders>
            <w:tcMar>
              <w:top w:w="0" w:type="dxa"/>
              <w:left w:w="0" w:type="dxa"/>
            </w:tcMar>
            <w:vAlign w:val="center"/>
          </w:tcPr>
          <w:p>
            <w:pPr>
              <w:pStyle w:val="TableContents"/>
              <w:bidi w:val="0"/>
              <w:spacing w:before="40" w:after="283"/>
              <w:jc w:val="center"/>
              <w:rPr>
                <w:rFonts w:ascii="Times New Roman" w:hAnsi="Times New Roman"/>
                <w:color w:val="000000"/>
                <w:sz w:val="18"/>
              </w:rPr>
            </w:pPr>
            <w:r>
              <w:rPr>
                <w:rFonts w:ascii="Times New Roman" w:hAnsi="Times New Roman"/>
                <w:color w:val="000000"/>
                <w:sz w:val="18"/>
              </w:rPr>
              <w:t>ASMB</w:t>
            </w:r>
          </w:p>
        </w:tc>
        <w:tc>
          <w:tcPr>
            <w:tcW w:w="3226" w:type="dxa"/>
            <w:tcBorders>
              <w:bottom w:val="single" w:sz="8" w:space="0" w:color="000000"/>
              <w:right w:val="single" w:sz="8" w:space="0" w:color="000000"/>
            </w:tcBorders>
            <w:tcMar>
              <w:top w:w="0" w:type="dxa"/>
              <w:left w:w="0" w:type="dxa"/>
            </w:tcMar>
            <w:vAlign w:val="center"/>
          </w:tcPr>
          <w:p>
            <w:pPr>
              <w:pStyle w:val="TableContents"/>
              <w:bidi w:val="0"/>
              <w:spacing w:before="4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4905" w:type="dxa"/>
        <w:jc w:val="left"/>
        <w:tblInd w:w="0" w:type="dxa"/>
        <w:tblLayout w:type="fixed"/>
        <w:tblCellMar>
          <w:top w:w="28" w:type="dxa"/>
          <w:left w:w="28" w:type="dxa"/>
          <w:bottom w:w="28" w:type="dxa"/>
          <w:right w:w="28" w:type="dxa"/>
        </w:tblCellMar>
      </w:tblPr>
      <w:tblGrid>
        <w:gridCol w:w="2056"/>
        <w:gridCol w:w="316"/>
        <w:gridCol w:w="146"/>
        <w:gridCol w:w="202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8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As of November 7, 2025, there were 15,817,140</w:t>
      </w:r>
      <w:r>
        <w:rPr>
          <w:rFonts w:ascii="Times New Roman" w:hAnsi="Times New Roman"/>
          <w:color w:val="000000"/>
          <w:sz w:val="20"/>
        </w:rPr>
        <w:t xml:space="preserve"> </w:t>
      </w:r>
      <w:r>
        <w:rPr>
          <w:rFonts w:ascii="Times New Roman" w:hAnsi="Times New Roman"/>
          <w:color w:val="000000"/>
          <w:sz w:val="18"/>
        </w:rPr>
        <w:t>shares of the registrant’s common stock outstanding.</w:t>
      </w:r>
    </w:p>
    <w:p>
      <w:pPr>
        <w:pStyle w:val="TextBody"/>
        <w:pBdr>
          <w:bottom w:val="double" w:sz="4" w:space="1" w:color="000000"/>
        </w:pBdr>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1"/>
        <w:gridCol w:w="8348"/>
        <w:gridCol w:w="976"/>
      </w:tblGrid>
      <w:tr>
        <w:trPr/>
        <w:tc>
          <w:tcPr>
            <w:tcW w:w="881" w:type="dxa"/>
            <w:tcBorders/>
            <w:vAlign w:val="center"/>
          </w:tcPr>
          <w:p>
            <w:pPr>
              <w:pStyle w:val="TableContents"/>
              <w:bidi w:val="0"/>
              <w:spacing w:before="0" w:after="283"/>
              <w:jc w:val="left"/>
              <w:rPr>
                <w:sz w:val="4"/>
                <w:szCs w:val="4"/>
              </w:rPr>
            </w:pPr>
            <w:r>
              <w:rPr>
                <w:sz w:val="4"/>
                <w:szCs w:val="4"/>
              </w:rPr>
            </w:r>
          </w:p>
        </w:tc>
        <w:tc>
          <w:tcPr>
            <w:tcW w:w="8348"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80"/>
              <w:jc w:val="left"/>
              <w:rPr/>
            </w:pPr>
            <w:r>
              <w:rPr/>
              <w:t> </w:t>
            </w:r>
          </w:p>
        </w:tc>
        <w:tc>
          <w:tcPr>
            <w:tcW w:w="8348" w:type="dxa"/>
            <w:tcBorders/>
            <w:tcMar>
              <w:top w:w="0" w:type="dxa"/>
              <w:left w:w="0" w:type="dxa"/>
              <w:bottom w:w="0" w:type="dxa"/>
              <w:right w:w="0" w:type="dxa"/>
            </w:tcMar>
            <w:vAlign w:val="center"/>
          </w:tcPr>
          <w:p>
            <w:pPr>
              <w:pStyle w:val="TableContents"/>
              <w:bidi w:val="0"/>
              <w:spacing w:before="0" w:after="80"/>
              <w:jc w:val="left"/>
              <w:rPr/>
            </w:pPr>
            <w:r>
              <w:rPr/>
              <w:t> </w:t>
            </w:r>
          </w:p>
        </w:tc>
        <w:tc>
          <w:tcPr>
            <w:tcW w:w="976"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Page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w:t>
              </w:r>
            </w:hyperlink>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2</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at September 30, 2025 (unaudited) and December 31, 2024</w:t>
              </w:r>
            </w:hyperlink>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2</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Condensed Consolidated Statements of Operations and Comprehensive Loss for the Three and Nine Months Ended September 30, 2025 and 2024 (unaudited)</w:t>
              </w:r>
            </w:hyperlink>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hange">
              <w:r>
                <w:rPr>
                  <w:rStyle w:val="InternetLink"/>
                  <w:rFonts w:ascii="Times New Roman" w:hAnsi="Times New Roman"/>
                  <w:color w:val="0000FF"/>
                  <w:sz w:val="20"/>
                  <w:u w:val="single"/>
                </w:rPr>
                <w:t>Condensed Consolidated Statements of Changes in Stockholders’ Equity for the Three and Nine Months Ended September 30, 2025 and 2024 (unaudited)</w:t>
              </w:r>
            </w:hyperlink>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4</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Condensed Consolidated Statements of Cash Flows for the Nine Months Ended September 30, 2025 and 2024 (unaudited)</w:t>
              </w:r>
            </w:hyperlink>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6</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the Condensed Consolidated Financial Statements (unaudited)</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II:</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color w:val="0000FF"/>
                  <w:sz w:val="20"/>
                  <w:u w:val="single"/>
                </w:rPr>
                <w:t>OTHER INFORMATION</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922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229" w:type="dxa"/>
            <w:gridSpan w:val="2"/>
            <w:tcBorders/>
            <w:tcMar>
              <w:top w:w="0" w:type="dxa"/>
              <w:left w:w="0" w:type="dxa"/>
              <w:bottom w:w="0" w:type="dxa"/>
              <w:right w:w="0" w:type="dxa"/>
            </w:tcMar>
            <w:vAlign w:val="center"/>
          </w:tcPr>
          <w:p>
            <w:pPr>
              <w:pStyle w:val="TableContents"/>
              <w:bidi w:val="0"/>
              <w:spacing w:before="0" w:after="283"/>
              <w:jc w:val="left"/>
              <w:rPr/>
            </w:pPr>
            <w:hyperlink w:anchor="signathure">
              <w:r>
                <w:rPr>
                  <w:rStyle w:val="InternetLink"/>
                  <w:rFonts w:ascii="Times New Roman" w:hAnsi="Times New Roman"/>
                  <w:color w:val="0000FF"/>
                  <w:sz w:val="20"/>
                  <w:u w:val="single"/>
                </w:rPr>
                <w:t>SIGNATURES</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References to Assembly Biosciences,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Throughout this Quarterly Report on Form 10-Q, the “Company,” “Assembly,” “we,” “us,” and “our,” except where the context requires otherwise, refer to Assembly Biosciences, Inc. and its consolidated subsidiaries, and “board of directors” refers to the board of directors of Assembly Biosciences, Inc.</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Quarterly Report on Form 10-Q contains “forward-looking statements” that are subject to certain risks and uncertainties, including, without limitation, those set forth in Part I, Item 1A of our Annual Report on Form 10-K filed with the U.S. Securities and Exchange Commission (SEC) on March 20, 2025 (2024 Annual Report) and Part II, Item 1A of this Quarterly Report on Form 10-Q under the heading “Risk Factors,” that could cause actual results to materially differ. Such risks and uncertainties include,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realize the potential benefits of our collaboration with Gilead Sciences, Inc. (Gilead), including all financial aspects of the collaboration and equity investments;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initiate and complete clinical studies involving our therapeutic product candidates, including studies contemplated by our collaboration with Gilead, in the currently anticipated timeframes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safety and efficacy data from clinical or nonclinical studies may not warrant further development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and nonclinical data may not differentiate our product candidates from other companies’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financial resources and secure additional funding necessary to continue our research activities, clinical studies and other business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 federal government shutdown and potential effects of changes in government regulation, including as a result of the change in U.S. administration in 2025;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results of nonclinical studies may not be representative of disease behavior in a clinical setting and may not be predictive of the outcomes of clinical studies.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You are urged to consider statements that include the words may, will, would, could, should, might, believes, hopes, estimates, projects, potential, enable, expects, plans, anticipates, intends, continues, forecast, designed, goal or the negative of those words or other comparable words to be uncertain and forward-looking. In particular, forward-looking statements include, but are not limited to, statements regarding the timing of commencement of future clinical studies involving our therapeutic product candidates; and our ability to successfully complete, and receive favorable results in, clinical studies for our product candidates. We intend such forward-looking statements to be covered by the safe harbor provisions contained in Section 27A of the Securities Act of 1933, as amended (the Securities Act), and Section 21E of the Securities Exchange Act of 1934, as amended (the Exchange Act). Except as required by law, we assume no obligation to update publicly any forward-looking statements, whether as a result of new information, future events or otherwise.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2" w:name="part_i_financial_information"/>
      <w:bookmarkEnd w:id="2"/>
      <w:r>
        <w:rPr>
          <w:rFonts w:ascii="Times New Roman" w:hAnsi="Times New Roman"/>
          <w:b/>
          <w:color w:val="000000"/>
          <w:sz w:val="20"/>
        </w:rPr>
        <w:t>PART I - FINANCIAL INFORMATION</w:t>
      </w:r>
    </w:p>
    <w:p>
      <w:pPr>
        <w:pStyle w:val="TextBody"/>
        <w:bidi w:val="0"/>
        <w:jc w:val="both"/>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ASSEMBLY BIOSCIENCES,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(In thousands except for share amounts and par value)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098"/>
        <w:gridCol w:w="146"/>
        <w:gridCol w:w="213"/>
        <w:gridCol w:w="945"/>
        <w:gridCol w:w="166"/>
        <w:gridCol w:w="146"/>
        <w:gridCol w:w="216"/>
        <w:gridCol w:w="862"/>
        <w:gridCol w:w="413"/>
      </w:tblGrid>
      <w:tr>
        <w:trPr/>
        <w:tc>
          <w:tcPr>
            <w:tcW w:w="7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38,344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73,735</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from collaboration with a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115,503</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(ROU)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3,069</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239,997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119,168</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from a related party - short-term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 short-term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47,803</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from a related party -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57,302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85,809</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5,000,000 shares authorized; no shares issued or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150,000,000 shares authorized as of September 30, 2025 and December 31, 2024; 15,816,987 and 7,457,240 shares issued and outstanding as of September 30,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859,488</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(854,137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(825,925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33,359</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239,997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119,168</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ASSEMBLY BIOSCIENCES, INC.</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color w:val="000000"/>
          <w:sz w:val="20"/>
        </w:rPr>
      </w:pPr>
      <w:r>
        <w:rPr>
          <w:rFonts w:ascii="Times New Roman" w:hAnsi="Times New Roman"/>
          <w:color w:val="000000"/>
          <w:sz w:val="20"/>
        </w:rPr>
        <w:t>(In thousands except for share and per share amounts)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13"/>
        <w:gridCol w:w="146"/>
        <w:gridCol w:w="228"/>
        <w:gridCol w:w="1123"/>
        <w:gridCol w:w="179"/>
        <w:gridCol w:w="157"/>
        <w:gridCol w:w="228"/>
        <w:gridCol w:w="1009"/>
        <w:gridCol w:w="166"/>
        <w:gridCol w:w="146"/>
        <w:gridCol w:w="228"/>
        <w:gridCol w:w="1010"/>
        <w:gridCol w:w="179"/>
        <w:gridCol w:w="157"/>
        <w:gridCol w:w="228"/>
        <w:gridCol w:w="1010"/>
        <w:gridCol w:w="398"/>
      </w:tblGrid>
      <w:tr>
        <w:trPr/>
        <w:tc>
          <w:tcPr>
            <w:tcW w:w="3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3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Collaboration revenue from a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10,789</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29,834</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21,163</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47,563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41,653</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5,085</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14,188</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13,398</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21,672</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61,751</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55,051</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(10,883</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(31,917</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(33,888</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4,452</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3,705</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4,452</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(9,196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(28,212</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(29,436</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6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(9,196</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(28,212</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(29,842</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(9,007</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(28,091</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(29,917</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12,686,122</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6,351,431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9,301,740</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5,827,750</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ASSEMBLY BIOSCIENCES, INC.</w:t>
      </w:r>
    </w:p>
    <w:p>
      <w:pPr>
        <w:pStyle w:val="TextBody"/>
        <w:bidi w:val="0"/>
        <w:jc w:val="center"/>
        <w:rPr>
          <w:rFonts w:ascii="Times New Roman" w:hAnsi="Times New Roman"/>
          <w:b/>
          <w:color w:val="000000"/>
          <w:sz w:val="20"/>
        </w:rPr>
      </w:pPr>
      <w:bookmarkStart w:id="6" w:name="condensed_consolidated_statements_change"/>
      <w:bookmarkEnd w:id="6"/>
      <w:r>
        <w:rPr>
          <w:rFonts w:ascii="Times New Roman" w:hAnsi="Times New Roman"/>
          <w:b/>
          <w:color w:val="000000"/>
          <w:sz w:val="20"/>
        </w:rPr>
        <w:t>CONDENSED CONSOLIDATED STATEMENTS OF CHANGES IN STOCKHOLDERS’ EQUITY</w:t>
      </w:r>
    </w:p>
    <w:p>
      <w:pPr>
        <w:pStyle w:val="TextBody"/>
        <w:bidi w:val="0"/>
        <w:jc w:val="center"/>
        <w:rPr>
          <w:rFonts w:ascii="Times New Roman" w:hAnsi="Times New Roman"/>
          <w:color w:val="000000"/>
          <w:sz w:val="20"/>
        </w:rPr>
      </w:pPr>
      <w:r>
        <w:rPr>
          <w:rFonts w:ascii="Times New Roman" w:hAnsi="Times New Roman"/>
          <w:color w:val="000000"/>
          <w:sz w:val="20"/>
        </w:rPr>
        <w:t>(In thousands except for share amounts)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225"/>
        <w:gridCol w:w="146"/>
        <w:gridCol w:w="146"/>
        <w:gridCol w:w="916"/>
        <w:gridCol w:w="146"/>
        <w:gridCol w:w="146"/>
        <w:gridCol w:w="249"/>
        <w:gridCol w:w="442"/>
        <w:gridCol w:w="146"/>
        <w:gridCol w:w="146"/>
        <w:gridCol w:w="196"/>
        <w:gridCol w:w="826"/>
        <w:gridCol w:w="146"/>
        <w:gridCol w:w="146"/>
        <w:gridCol w:w="376"/>
        <w:gridCol w:w="840"/>
        <w:gridCol w:w="166"/>
        <w:gridCol w:w="146"/>
        <w:gridCol w:w="217"/>
        <w:gridCol w:w="834"/>
        <w:gridCol w:w="166"/>
        <w:gridCol w:w="146"/>
        <w:gridCol w:w="238"/>
        <w:gridCol w:w="843"/>
        <w:gridCol w:w="211"/>
      </w:tblGrid>
      <w:tr>
        <w:trPr/>
        <w:tc>
          <w:tcPr>
            <w:tcW w:w="22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 Period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7,672,249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863,312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(844,941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pre-funded warrants and warrants in an underwritten offering,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5,591,840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123,600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and warrants in a private placement to a related party,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2,295,920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for settlement of restricted stock units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gain on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(9,196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15,816,987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1,036,906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(854,137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182,695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450"/>
        <w:gridCol w:w="146"/>
        <w:gridCol w:w="146"/>
        <w:gridCol w:w="826"/>
        <w:gridCol w:w="146"/>
        <w:gridCol w:w="146"/>
        <w:gridCol w:w="249"/>
        <w:gridCol w:w="442"/>
        <w:gridCol w:w="146"/>
        <w:gridCol w:w="146"/>
        <w:gridCol w:w="196"/>
        <w:gridCol w:w="691"/>
        <w:gridCol w:w="146"/>
        <w:gridCol w:w="146"/>
        <w:gridCol w:w="376"/>
        <w:gridCol w:w="840"/>
        <w:gridCol w:w="166"/>
        <w:gridCol w:w="146"/>
        <w:gridCol w:w="217"/>
        <w:gridCol w:w="834"/>
        <w:gridCol w:w="166"/>
        <w:gridCol w:w="146"/>
        <w:gridCol w:w="265"/>
        <w:gridCol w:w="816"/>
        <w:gridCol w:w="211"/>
      </w:tblGrid>
      <w:tr>
        <w:trPr/>
        <w:tc>
          <w:tcPr>
            <w:tcW w:w="2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6,345,561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840,946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(805,977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34,682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for settlement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gain on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September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6,354,414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841,743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(815,590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26,003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25"/>
        <w:gridCol w:w="146"/>
        <w:gridCol w:w="146"/>
        <w:gridCol w:w="916"/>
        <w:gridCol w:w="146"/>
        <w:gridCol w:w="146"/>
        <w:gridCol w:w="249"/>
        <w:gridCol w:w="442"/>
        <w:gridCol w:w="146"/>
        <w:gridCol w:w="146"/>
        <w:gridCol w:w="196"/>
        <w:gridCol w:w="826"/>
        <w:gridCol w:w="146"/>
        <w:gridCol w:w="146"/>
        <w:gridCol w:w="376"/>
        <w:gridCol w:w="840"/>
        <w:gridCol w:w="166"/>
        <w:gridCol w:w="146"/>
        <w:gridCol w:w="217"/>
        <w:gridCol w:w="834"/>
        <w:gridCol w:w="166"/>
        <w:gridCol w:w="146"/>
        <w:gridCol w:w="238"/>
        <w:gridCol w:w="843"/>
        <w:gridCol w:w="211"/>
      </w:tblGrid>
      <w:tr>
        <w:trPr/>
        <w:tc>
          <w:tcPr>
            <w:tcW w:w="22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 Period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7,457,240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859,488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(825,925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33,359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at-the-market (ATM) equity offering program,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pre-funded warrants and warrants in an underwritten offering,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5,591,840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123,600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and warrants in a private placement to a related party,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2,295,920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Employee Stock Purchase Plan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for settlement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gain on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(28,212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15,816,987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1,036,906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(854,137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182,695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450"/>
        <w:gridCol w:w="146"/>
        <w:gridCol w:w="146"/>
        <w:gridCol w:w="826"/>
        <w:gridCol w:w="146"/>
        <w:gridCol w:w="146"/>
        <w:gridCol w:w="249"/>
        <w:gridCol w:w="442"/>
        <w:gridCol w:w="146"/>
        <w:gridCol w:w="146"/>
        <w:gridCol w:w="196"/>
        <w:gridCol w:w="691"/>
        <w:gridCol w:w="146"/>
        <w:gridCol w:w="146"/>
        <w:gridCol w:w="376"/>
        <w:gridCol w:w="840"/>
        <w:gridCol w:w="166"/>
        <w:gridCol w:w="146"/>
        <w:gridCol w:w="217"/>
        <w:gridCol w:w="834"/>
        <w:gridCol w:w="166"/>
        <w:gridCol w:w="146"/>
        <w:gridCol w:w="247"/>
        <w:gridCol w:w="834"/>
        <w:gridCol w:w="211"/>
      </w:tblGrid>
      <w:tr>
        <w:trPr/>
        <w:tc>
          <w:tcPr>
            <w:tcW w:w="2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5,482,752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826,921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(785,748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41,097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and warrants in a registered direct offering,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and warrants in a private placement to a related party,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for settlement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(29,842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September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6,354,414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841,743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(815,590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26,003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ASSEMBLY BIOSCIENCES, INC.</w:t>
      </w:r>
    </w:p>
    <w:p>
      <w:pPr>
        <w:pStyle w:val="TextBody"/>
        <w:bidi w:val="0"/>
        <w:jc w:val="center"/>
        <w:rPr>
          <w:rFonts w:ascii="Times New Roman" w:hAnsi="Times New Roman"/>
          <w:b/>
          <w:color w:val="000000"/>
          <w:sz w:val="20"/>
        </w:rPr>
      </w:pPr>
      <w:bookmarkStart w:id="7" w:name="condensed_consolidated_statements_cash_f"/>
      <w:bookmarkEnd w:id="7"/>
      <w:r>
        <w:rPr>
          <w:rFonts w:ascii="Times New Roman" w:hAnsi="Times New Roman"/>
          <w:b/>
          <w:color w:val="000000"/>
          <w:sz w:val="20"/>
        </w:rPr>
        <w:t>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61"/>
        <w:gridCol w:w="246"/>
        <w:gridCol w:w="236"/>
        <w:gridCol w:w="941"/>
        <w:gridCol w:w="185"/>
        <w:gridCol w:w="163"/>
        <w:gridCol w:w="236"/>
        <w:gridCol w:w="823"/>
        <w:gridCol w:w="614"/>
      </w:tblGrid>
      <w:tr>
        <w:trPr/>
        <w:tc>
          <w:tcPr>
            <w:tcW w:w="67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(29,842</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3,216</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accretion of investments in marketable debt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rent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 from collaboration (-$912 and $- from a related party)</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research and development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accrued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 from a related party</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(21,163</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(55,330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(50,710</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maturities of marketable securities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83,632</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96,500</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of marketable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(218,281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(49,605</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of property and equipment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(134,691</w:t>
            </w:r>
          </w:p>
        </w:tc>
        <w:tc>
          <w:tcPr>
            <w:tcW w:w="18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2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46,867</w:t>
            </w:r>
          </w:p>
        </w:tc>
        <w:tc>
          <w:tcPr>
            <w:tcW w:w="61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7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Proceeds from the issuance of common stock, pre-funded warrants and warrants in an underwritten offering, net of issuance costs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123,600</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the issuance of common stock and warrants in private placements to a related party, net of issuance costs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42,785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the exercise of warrants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5,510</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the issuance of common stock under ATM equity offering program, net of issuance costs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the issuance of common stock under ESPP</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Proceeds from the exercise of stock options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the issuance of common stock and warrants in a registered direct offering, net of issuance costs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9,662</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174,211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12,454</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8,611</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the beginning of the period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38,344</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19,841</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the end of the period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22,534</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28,452</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ASSEMBLY BIOSCIENCES, INC.</w:t>
      </w:r>
    </w:p>
    <w:p>
      <w:pPr>
        <w:pStyle w:val="TextBody"/>
        <w:bidi w:val="0"/>
        <w:jc w:val="center"/>
        <w:rPr>
          <w:rFonts w:ascii="Times New Roman" w:hAnsi="Times New Roman"/>
          <w:b/>
          <w:color w:val="000000"/>
          <w:sz w:val="20"/>
        </w:rPr>
      </w:pPr>
      <w:bookmarkStart w:id="8" w:name="notes_to_condensed_consolidated_financia"/>
      <w:bookmarkEnd w:id="8"/>
      <w:r>
        <w:rPr>
          <w:rFonts w:ascii="Times New Roman" w:hAnsi="Times New Roman"/>
          <w:b/>
          <w:color w:val="000000"/>
          <w:sz w:val="20"/>
        </w:rPr>
        <w:t>NOTES TO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 Nature of Business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Assembly Biosciences, Inc. (together with its subsidiaries, Assembly or the Company), incorporated in Delaware in October 2005, is a biotechnology company developing innovative therapeutics targeting serious viral diseases with the potential to improve the lives of patients worldwide. The Company's pipeline includes multiple clinical-stage investigational therapies, including: (1) two helicase-primase inhibitors (HPIs) targeting herpes simplex virus (HSV) for the treatment of recurrent genital herpes; (2) an orally bioavailable hepatitis delta virus entry inhibitor; and (3) a highly potent next-generation capsid assembly modulator designed to disrupt the replication cycle of hepatitis B virus at several key points. The Company's pipeline also includes a novel, oral broad-spectrum non-nucleoside polymerase inhibitor (NNPI) targeting transplant-related herpesviruses, which is currently undergoing studies to enable a regulatory filing, and it has additional research programs against multiple antiviral targets. The Company operates in one segment and is headquartered in South San Francisco, California (see Note 9 - Segment Reporting).</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Liquidity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not derived any revenue from product sales to date and currently has no approved products. Once a product has been developed, it will need to be approved for sale by the U.S. Food and Drug Administration or an applicable foreign regulatory agency. Since the Company’s initial public offering, its operations have been financed through the sale of equity securities and payments related to collaboration agreements. The Company has incurred losses from operations since inception and expects to continue to incur substantial losses for the next several years as it continues its product development efforts. The Company intends to obtain any additional funding it requires through strategic relationships, public or private equity or debt financings, grants or other arrangements. The Company cannot assure such funding will be available on reasonable terms, if at all.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August 2025, the Company raised aggregate gross proceeds of $175.0 million from the sale of shares of common stock, pre-funded warrants and warrants (see Note 6 - Stockholders' Equity). As of September 30, 2025, the Company held cash, cash equivalents and marketable securities of $232.6 million. Management believes the Company currently has sufficient funds to meet its operating requirements beyond one year from the date these unaudited condensed consolidated financial statements are issued. As a result, the Company concluded the conditions which previously raised substantial doubt about its ability to continue as a going concern have been resolved.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2 - Summary of Significant Accounting Policies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include the accounts of the Company and its subsidiaries. All intercompany balances and transactions have been eliminated in consolidation.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Rule 10-01 of Regulation S-X of the SEC. In management’s opinion, the unaudited condensed consolidated financial statements have been prepared on the same basis as the annual audited consolidated financial statements and include normal recurring adjustments necessary for the fair presentation of the Company’s financial position and its results of operations and comprehensive loss and its cash flows for the periods presented. These statements do not include all disclosures required by U.S. GAAP and should be read in conjunction with the Company’s audited consolidated financial statements and accompanying notes for the fiscal year ended December 31, 2024, which are contained in the 2024 Annual Report. The results for the three and nine months ended September 30, 2025 are not necessarily indicative of results to be expected for the entire year ending December 31, 2025 or future operating periods.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preparation of the unaudited condensed consolidated financial statements in conformity with U.S. GAAP requires management to make estimates and assumptions that may affect the reported amounts of assets and liabilities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disclosure of contingent assets and liabilities at the date of the financial statements and reported amounts of expenses during the reporting period. Actual results could differ from those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Significant estimates inherent in the preparation of the accompanying unaudited condensed consolidated financial statements include estimates for revenue recognition and costs incurred but not yet invoiced for research and development accruals.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estimates could be affected by external conditions, including those unique to the Company and general economic conditions. It is reasonably possible these external factors could have an effect on the Company’s estimates and could cause actual results to differ materially from those estimates and assumptions.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Other Risks and Uncertainties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U.S. and global financial markets have experienced and may continue to experience volatility and disruption due to macroeconomic and geopolitical events such as rising inflation, changes in interest rates to combat inflation, the war between Russia and Ukraine, the conflicts in the Middle East, tensions between China and Taiwan, as well as tariffs or the imposition of modified or additional tariffs, trade wars, barriers or restrictions, or threats of such actions and the related uncertainty thereof. The Company cannot predict at this time to what extent, if at all, it and its employees, contract research organizations, vendors and/or collaborators could potentially be negatively impacted by these events.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Warrants and Pre-Funded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determines the accounting classification of warrants it issues as either liability or equity-classified based on an assessment of the warrant’s specific terms. The assessment considers whether the warrants are freestanding financial instruments, whether the warrants meet the definition of a liability and whether the warrants meet all the requirements for equity classification. Equity classified warrants are accounted for using a relative fair value allocation method, with fair values determined at issuance using a Black-Scholes model.</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Basic net loss per share of common stock excludes dilution and is computed by dividing net loss by the weighted average number of shares of common stock outstanding during the period. Diluted net loss per share of common stock reflects the potential dilution that could occur if securities or other contracts to issue common stock were exercised or converted into common stock or resulted in the issuance of common stock that then shared in the earnings of the entity unless inclusion of such shares would be anti-dilutive. Diluted net loss per share is the same as basic net loss per share, since the effects of potentially dilutive securities are antidilutive given the net loss for each period presented.</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A reconciliation of the numerators and the denominators of the basic and diluted net loss per common share computations is as follows (in thousands, except for share and per share amounts):</w:t>
      </w:r>
    </w:p>
    <w:tbl>
      <w:tblPr>
        <w:tblW w:w="10205" w:type="dxa"/>
        <w:jc w:val="left"/>
        <w:tblInd w:w="0" w:type="dxa"/>
        <w:tblLayout w:type="fixed"/>
        <w:tblCellMar>
          <w:top w:w="28" w:type="dxa"/>
          <w:left w:w="28" w:type="dxa"/>
          <w:bottom w:w="28" w:type="dxa"/>
          <w:right w:w="28" w:type="dxa"/>
        </w:tblCellMar>
      </w:tblPr>
      <w:tblGrid>
        <w:gridCol w:w="4059"/>
        <w:gridCol w:w="146"/>
        <w:gridCol w:w="211"/>
        <w:gridCol w:w="1036"/>
        <w:gridCol w:w="166"/>
        <w:gridCol w:w="146"/>
        <w:gridCol w:w="211"/>
        <w:gridCol w:w="931"/>
        <w:gridCol w:w="166"/>
        <w:gridCol w:w="146"/>
        <w:gridCol w:w="211"/>
        <w:gridCol w:w="931"/>
        <w:gridCol w:w="166"/>
        <w:gridCol w:w="146"/>
        <w:gridCol w:w="211"/>
        <w:gridCol w:w="931"/>
        <w:gridCol w:w="391"/>
      </w:tblGrid>
      <w:tr>
        <w:trPr/>
        <w:tc>
          <w:tcPr>
            <w:tcW w:w="40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shares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12,686,122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6,351,431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9,301,740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5,827,750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120"/>
        <w:jc w:val="both"/>
        <w:rPr>
          <w:rFonts w:ascii="Times New Roman" w:hAnsi="Times New Roman"/>
          <w:color w:val="000000"/>
          <w:sz w:val="20"/>
        </w:rPr>
      </w:pPr>
      <w:r>
        <w:rPr>
          <w:rFonts w:ascii="Times New Roman" w:hAnsi="Times New Roman"/>
          <w:color w:val="000000"/>
          <w:sz w:val="20"/>
        </w:rPr>
        <w:t>Securities excluded from the computation of diluted net loss per share because including them would have been antidilutive are as follows:</w:t>
      </w:r>
    </w:p>
    <w:tbl>
      <w:tblPr>
        <w:tblW w:w="6834" w:type="dxa"/>
        <w:jc w:val="left"/>
        <w:tblInd w:w="0" w:type="dxa"/>
        <w:tblLayout w:type="fixed"/>
        <w:tblCellMar>
          <w:top w:w="28" w:type="dxa"/>
          <w:left w:w="28" w:type="dxa"/>
          <w:bottom w:w="28" w:type="dxa"/>
          <w:right w:w="28" w:type="dxa"/>
        </w:tblCellMar>
      </w:tblPr>
      <w:tblGrid>
        <w:gridCol w:w="3946"/>
        <w:gridCol w:w="146"/>
        <w:gridCol w:w="146"/>
        <w:gridCol w:w="1036"/>
        <w:gridCol w:w="146"/>
        <w:gridCol w:w="146"/>
        <w:gridCol w:w="146"/>
        <w:gridCol w:w="931"/>
        <w:gridCol w:w="1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9,487,477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937,268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subject to purchase under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11,047,495</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1,827,998</w:t>
            </w:r>
          </w:p>
        </w:tc>
        <w:tc>
          <w:tcPr>
            <w:tcW w:w="1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August 2025, the Company sold pre-funded warrants to purchase up to 1,040,820 shares of common stock (see Note 6 - Stockholders' Equity). The pre-funded warrants are exercisable at $0.001 per share. The shares of common stock into which the pre-funded warrants may be exercised are considered outstanding for the purposes of computing earnings per share because the shares may be issued for little or no consideration, they are fully vested, and are exercisable after the original issuance date.</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3 – Related Party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October 2023, the Company entered into the Option, License and Collaboration Agreement (Gilead Collaboration Agreement), and a Common Stock Purchase Agreement and an Investor Rights Agreement (collectively, the Gilead Equity Agreements) with Gilead Sciences, Inc. (Gilead). The Gilead Equity Agreements were amended in June 2024, and the parties entered into the First Amendment to the Gilead Collaboration Agreement in December 2024. In July 2025, the Company entered into a letter agreement with Gilead under which Gilead has agreed to reimburse the Company up to $1.5 million for certain nonclinical study activities, subject to the terms and conditions set forth in the agreement. The letter agreement does not amend any terms of the Gilead Collaboration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August 2025, the Company entered into a Securities Purchase Agreement with Gilead for the issuance and sale of 2,295,920 shares of common stock and accompanying Class A and Class B warrants to purchase up to an aggregate of 2,295,920 shares of common stock in a private placement (collectively, the August 2025 Private Placement). This transaction, which generated aggregate gross proceeds of $45.0 million, was executed concurrently with the August 2025 Underwritten Offering. See Note 6 - Stockholders' Equity for additional details.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Following the Company entering into the Gilead Equity Agreements, and as of September 30, 2025, Gilead is considered a related party based on its ownership of the Company's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September 30, 2025, the Company recorded $0.9 million in accounts receivable from collaboration on the condensed consolidated balance sheet for reimbursable costs incurred under the Gilead Collaboration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recognized $10.8 million and $6.8 million of collaboration revenue under the Gilead Collaboration Agreement during the three months ended September 30, 2025 and 2024, respectively. The Company recognized $29.8 million and $21.2 million of collaboration revenue under the Gilead Collaboration Agreement during the nine months ended September 30, 2025 and 2024, respectively. See Note 8 - Collaboration Agreement for additional details.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4 – Fair Value Measurements and Investments in Marketable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carrying amounts of cash equivalents and marketable securities approximate their fair value based upon quoted market prices. Certain of the Company’s financial instruments are not measured at fair value on a recurring basis, but are recorded at amounts that approximate their fair value due to their liquid or short-term nature, such as cash, accounts receivable, accounts payable and accrued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uses the following three-level hierarchy that maximizes the use of observable inputs and minimizes the use of unobservable inputs to value its financial instruments: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1: Observable inputs such as unadjusted quoted prices in active markets for identical instruments.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2: Quoted prices for similar instruments that are directly or indirectly observable in the marketplace.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3: Significant unobservable inputs that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Investments in marketable securities consisted of the following (in thousands):</w:t>
      </w:r>
    </w:p>
    <w:tbl>
      <w:tblPr>
        <w:tblW w:w="9240" w:type="dxa"/>
        <w:jc w:val="left"/>
        <w:tblInd w:w="0" w:type="dxa"/>
        <w:tblLayout w:type="fixed"/>
        <w:tblCellMar>
          <w:top w:w="28" w:type="dxa"/>
          <w:left w:w="28" w:type="dxa"/>
          <w:bottom w:w="28" w:type="dxa"/>
          <w:right w:w="28" w:type="dxa"/>
        </w:tblCellMar>
      </w:tblPr>
      <w:tblGrid>
        <w:gridCol w:w="4051"/>
        <w:gridCol w:w="146"/>
        <w:gridCol w:w="211"/>
        <w:gridCol w:w="781"/>
        <w:gridCol w:w="146"/>
        <w:gridCol w:w="146"/>
        <w:gridCol w:w="295"/>
        <w:gridCol w:w="591"/>
        <w:gridCol w:w="146"/>
        <w:gridCol w:w="146"/>
        <w:gridCol w:w="335"/>
        <w:gridCol w:w="551"/>
        <w:gridCol w:w="166"/>
        <w:gridCol w:w="146"/>
        <w:gridCol w:w="211"/>
        <w:gridCol w:w="781"/>
        <w:gridCol w:w="3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42,763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138,591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232,308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240" w:type="dxa"/>
        <w:jc w:val="left"/>
        <w:tblInd w:w="0" w:type="dxa"/>
        <w:tblLayout w:type="fixed"/>
        <w:tblCellMar>
          <w:top w:w="28" w:type="dxa"/>
          <w:left w:w="28" w:type="dxa"/>
          <w:bottom w:w="28" w:type="dxa"/>
          <w:right w:w="28" w:type="dxa"/>
        </w:tblCellMar>
      </w:tblPr>
      <w:tblGrid>
        <w:gridCol w:w="4051"/>
        <w:gridCol w:w="146"/>
        <w:gridCol w:w="211"/>
        <w:gridCol w:w="781"/>
        <w:gridCol w:w="146"/>
        <w:gridCol w:w="146"/>
        <w:gridCol w:w="335"/>
        <w:gridCol w:w="551"/>
        <w:gridCol w:w="146"/>
        <w:gridCol w:w="146"/>
        <w:gridCol w:w="335"/>
        <w:gridCol w:w="551"/>
        <w:gridCol w:w="166"/>
        <w:gridCol w:w="146"/>
        <w:gridCol w:w="211"/>
        <w:gridCol w:w="781"/>
        <w:gridCol w:w="3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48,117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 and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111,176</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111,238</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There were no realized gains and losses for the three and nine months ended September 30, 2025 and 2024. As of September 30, 2025 and December 31, 2024, investments which were in an unrealized loss position were not material and generally due to interest rate fluctuations, as opposed to declines in credit quality. The Company determined it has the intent and ability to hold all marketable securities that have been in a continuous loss position until recovery of their amortized cost basis, which may be until maturity. As a result, the Company did not recognize any credit losses related to its investments and all unrealized gains and losses on available-for-sale marketable securities are recorded in accumulated other comprehensive loss on the condensed consolidated balance sheets as of September 30, 2025 and December 31, 2024.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Accrued interest receivable was $1.0 million and $0.4 million as of September 30, 2025 and December 31, 2024, respectively, and was recorded in prepaid expenses and other current assets on the condensed consolidated balance sheets. The Company did not write off any accrued interest receivable during the three and nine months ended September 30, 2025 and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tables present the fair value of the Company’s financial assets measured at fair value on a recurring basis (in thousands):</w:t>
      </w:r>
    </w:p>
    <w:tbl>
      <w:tblPr>
        <w:tblW w:w="8095" w:type="dxa"/>
        <w:jc w:val="left"/>
        <w:tblInd w:w="0" w:type="dxa"/>
        <w:tblLayout w:type="fixed"/>
        <w:tblCellMar>
          <w:top w:w="28" w:type="dxa"/>
          <w:left w:w="28" w:type="dxa"/>
          <w:bottom w:w="28" w:type="dxa"/>
          <w:right w:w="28" w:type="dxa"/>
        </w:tblCellMar>
      </w:tblPr>
      <w:tblGrid>
        <w:gridCol w:w="3181"/>
        <w:gridCol w:w="146"/>
        <w:gridCol w:w="211"/>
        <w:gridCol w:w="676"/>
        <w:gridCol w:w="146"/>
        <w:gridCol w:w="146"/>
        <w:gridCol w:w="211"/>
        <w:gridCol w:w="781"/>
        <w:gridCol w:w="146"/>
        <w:gridCol w:w="146"/>
        <w:gridCol w:w="239"/>
        <w:gridCol w:w="391"/>
        <w:gridCol w:w="146"/>
        <w:gridCol w:w="146"/>
        <w:gridCol w:w="211"/>
        <w:gridCol w:w="781"/>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42,763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138,591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232,308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990" w:type="dxa"/>
        <w:jc w:val="left"/>
        <w:tblInd w:w="0" w:type="dxa"/>
        <w:tblLayout w:type="fixed"/>
        <w:tblCellMar>
          <w:top w:w="28" w:type="dxa"/>
          <w:left w:w="28" w:type="dxa"/>
          <w:bottom w:w="28" w:type="dxa"/>
          <w:right w:w="28" w:type="dxa"/>
        </w:tblCellMar>
      </w:tblPr>
      <w:tblGrid>
        <w:gridCol w:w="3181"/>
        <w:gridCol w:w="146"/>
        <w:gridCol w:w="211"/>
        <w:gridCol w:w="676"/>
        <w:gridCol w:w="146"/>
        <w:gridCol w:w="146"/>
        <w:gridCol w:w="211"/>
        <w:gridCol w:w="676"/>
        <w:gridCol w:w="146"/>
        <w:gridCol w:w="146"/>
        <w:gridCol w:w="239"/>
        <w:gridCol w:w="391"/>
        <w:gridCol w:w="146"/>
        <w:gridCol w:w="146"/>
        <w:gridCol w:w="211"/>
        <w:gridCol w:w="781"/>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48,117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111,238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estimates the fair value of its investments in marketable securities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were no transfers between Level 1, Level 2 or Level 3 investments during the periods presented.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5 – Other Accrued Expenses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Other accrued expenses consist of the following (in thousands):</w:t>
      </w:r>
    </w:p>
    <w:tbl>
      <w:tblPr>
        <w:tblW w:w="6265" w:type="dxa"/>
        <w:jc w:val="left"/>
        <w:tblInd w:w="0" w:type="dxa"/>
        <w:tblLayout w:type="fixed"/>
        <w:tblCellMar>
          <w:top w:w="28" w:type="dxa"/>
          <w:left w:w="28" w:type="dxa"/>
          <w:bottom w:w="28" w:type="dxa"/>
          <w:right w:w="28" w:type="dxa"/>
        </w:tblCellMar>
      </w:tblPr>
      <w:tblGrid>
        <w:gridCol w:w="3201"/>
        <w:gridCol w:w="146"/>
        <w:gridCol w:w="307"/>
        <w:gridCol w:w="833"/>
        <w:gridCol w:w="146"/>
        <w:gridCol w:w="146"/>
        <w:gridCol w:w="294"/>
        <w:gridCol w:w="801"/>
        <w:gridCol w:w="391"/>
      </w:tblGrid>
      <w:tr>
        <w:trPr/>
        <w:tc>
          <w:tcPr>
            <w:tcW w:w="3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professional fees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6 – Stockholders’ Equity</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At-The-Market Offering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November 2024, the Company entered into a sales agreement under which the Company may offer and sell shares of its common stock having an aggregate offering price of up to $75.0 million through "at-the-market" offerings (2024 ATM), pursuant to its shelf registration statement on Form S-3 (File No. 333-270760), which became effective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April 2023. The Company did not sell any shares of common stock during the three months ended September 30, 2025. During the nine months ended September 30, 2025, the Company sold 161,645 shares of common stock under the 2024 ATM, for which the Company received net proceeds of $1.9 million, after deducting commissions, fees and expenses. The Company did not sell any shares of common stock during the three and nine months ended September 30, 2024.</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Underwritten Offering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August 2025, the Company sold an aggregate of 5,591,840 shares of common stock and pre-funded warrants to purchase up to 1,040,820 shares of common stock, together with accompanying 3,316,330 Class A and 3,316,330 Class B warrants to purchase up to an aggregated total of 6,632,660 shares of common stock in an underwritten offering (the August 2025 Underwritten Offering). The combined price per share of common stock with the accompanying Class A and Class B warrants was $19.60, while the combined price per pre-funded warrant with accompanying Class A and Class B warrants was $19.599. The offering generated aggregate gross proceeds to the Company of $130.0 million. After deducting issuance costs, net proceeds totaled $123.6 million.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Private Placement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August 2025, the Company entered into the August 2025 Private Placement with Gilead, which involved the issuance and sale of 2,295,920 shares of common stock and accompanying 1,147,960 Class A and 1,147,960 Class B warrants to purchase up to an aggregate of 2,295,920 shares of common stock in a private placement. This transaction was executed concurrently with the August 2025 Underwritten Offering. The combined price per share of common stock with the accompanying Class A and Class B warrants was $19.60, generating aggregate gross proceeds of $45.0 million. After deducting issuance costs, net proceeds totaled $42.8 million. These warrants have the same exercise price and terms as the warrants sold in the August 2025 Underwritten Offering.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Each pre-funded warrant sold in the August 2025 Underwritten Offering carries a nominal exercise price of $0.001 per share, is immediately exercisable and does not expire.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Each Class A warrant sold in the August 2025 Underwritten Offering and August 2025 Private Placement has an exercise price of $21.60 per share, is immediately exercisable and will expire on the earlier of (i) August 11, 2030 (five years from the date of issuance) or (ii) the date that is 30 days after the public announcement that the Company has completed enrollment (of at least 200 patients total) for its Phase 2 clinical study evaluating ABI-5366 versus valacyclovir.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Each Class B warrant sold in the August 2025 Underwritten Offering and August 2025 Private Placement has an exercise price of $21.60 per share, will become exercisable on or after November 15, 2026 and expire on December 31, 2026. However, Class B warrants will automatically terminate and become non-exercisable if the Company publicly announces, prior to November 15, 2026, it has received at least $75.0 million in aggregate non-dilutive capital in connection with a collaboration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Neither party may exercise any portion of the warrants and pre-funded warrants to the extent it would beneficially own more than the limits defined in the respective agreements. The exercise price and number of shares of common stock issuable upon the exercise of the warrants and pre-funded warrants are subject to adjustment in the event of any stock dividends and distributions, stock splits, stock combinations or stock reclassifications, as described in the respective agreements.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valued the pre-funded warrants and warrants at issuance and allocated net proceeds from their sale based on their relative fair values. Of the total proceeds, $16.4 million was allocated to pre-funded warrants, $24.6 million to Class A warrants and $1.2 million to Class B warrants. These amounts were classified as a component of permanent stockholders’ equity within additional paid-in-capital.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three and nine months ended September 30, 2025 and 2024, 255,103 Class A warrants were exercised.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warrants and pre-funded warrants to purchase shares of the Company's common stock were issued and outstanding:</w:t>
      </w:r>
    </w:p>
    <w:tbl>
      <w:tblPr>
        <w:tblW w:w="8938" w:type="dxa"/>
        <w:jc w:val="left"/>
        <w:tblInd w:w="0" w:type="dxa"/>
        <w:tblLayout w:type="fixed"/>
        <w:tblCellMar>
          <w:top w:w="28" w:type="dxa"/>
          <w:left w:w="28" w:type="dxa"/>
          <w:bottom w:w="28" w:type="dxa"/>
          <w:right w:w="28" w:type="dxa"/>
        </w:tblCellMar>
      </w:tblPr>
      <w:tblGrid>
        <w:gridCol w:w="976"/>
        <w:gridCol w:w="146"/>
        <w:gridCol w:w="1321"/>
        <w:gridCol w:w="146"/>
        <w:gridCol w:w="1276"/>
        <w:gridCol w:w="146"/>
        <w:gridCol w:w="506"/>
        <w:gridCol w:w="1369"/>
        <w:gridCol w:w="146"/>
        <w:gridCol w:w="146"/>
        <w:gridCol w:w="146"/>
        <w:gridCol w:w="1036"/>
        <w:gridCol w:w="146"/>
        <w:gridCol w:w="146"/>
        <w:gridCol w:w="172"/>
        <w:gridCol w:w="923"/>
        <w:gridCol w:w="191"/>
      </w:tblGrid>
      <w:tr>
        <w:trPr/>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Exercisable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Expiration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6/18/2029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6/17/2024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6/17/2024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6/18/2029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 expiration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8/11/2030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4,209,187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11/15/2026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12/31/2026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4,464,290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10,528,297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Class A warrants will expire 30 days following the public announcement that the Company completed enrollment (of at least 200 patients total) in the ABI-5366 Phase 2 clinical study if prior to August 11, 2030.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These Class B warrants will be cancelled if the Company publicly announces the receipt of at least $75.0 million in the aggregate of non-dilutive capital in connection with a collaboration agreement prior to November 15, 2026.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warrants and pre-funded warrants are classified as a component of permanent stockholders’ equity within additional paid-in capital and were recorded at their respective issuance date using a relative fair value allocation method. The warrants and pre-funded warrants are equity classified because they are freestanding financial instruments that are legally detachable and separately exercisable from the equity instruments, do not embody an obligation for the Company to repurchase its shares, permit the holders to receive a fixed number of common shares upon exercise, are indexed to the Company’s common stock and meet the equity classification criteria. In addition, such warrants and pre-funded warrants do not provide any guarantee of value or return.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7 – Stock-Based Compensation</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 summarizes the components of total stock-based compensation expense included in the condensed consolidated statements of operations and comprehensive loss (in thousands):</w:t>
      </w:r>
    </w:p>
    <w:tbl>
      <w:tblPr>
        <w:tblW w:w="9503" w:type="dxa"/>
        <w:jc w:val="left"/>
        <w:tblInd w:w="0" w:type="dxa"/>
        <w:tblLayout w:type="fixed"/>
        <w:tblCellMar>
          <w:top w:w="28" w:type="dxa"/>
          <w:left w:w="28" w:type="dxa"/>
          <w:bottom w:w="28" w:type="dxa"/>
          <w:right w:w="28" w:type="dxa"/>
        </w:tblCellMar>
      </w:tblPr>
      <w:tblGrid>
        <w:gridCol w:w="3451"/>
        <w:gridCol w:w="146"/>
        <w:gridCol w:w="332"/>
        <w:gridCol w:w="899"/>
        <w:gridCol w:w="229"/>
        <w:gridCol w:w="229"/>
        <w:gridCol w:w="332"/>
        <w:gridCol w:w="662"/>
        <w:gridCol w:w="146"/>
        <w:gridCol w:w="146"/>
        <w:gridCol w:w="295"/>
        <w:gridCol w:w="798"/>
        <w:gridCol w:w="204"/>
        <w:gridCol w:w="204"/>
        <w:gridCol w:w="295"/>
        <w:gridCol w:w="798"/>
        <w:gridCol w:w="146"/>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3,216</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June 2025, the Company granted 225,000 performance stock units (PSUs) to its employees, which have a grant date fair value of $3.9 million. The awards vest upon the achievement of a clinical milestone, which was deemed probable of being met as of September 30, 2025. The Company recognized stock-based compensation expense of $0.9 million for these PSUs during the three and nine months ended September 30, 2025.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September 30, 2025, there was $5.9 million of total unrecognized stock-based compensation related to all outstanding equity awards, which is expected to be recognized over a weighted average remaining amortization period of 1.5 years.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fair value of stock options granted during the periods indicated was estimated using the Black-Scholes option pricing model, based on the following assumptions:</w:t>
      </w:r>
    </w:p>
    <w:tbl>
      <w:tblPr>
        <w:tblW w:w="7791" w:type="dxa"/>
        <w:jc w:val="left"/>
        <w:tblInd w:w="0" w:type="dxa"/>
        <w:tblLayout w:type="fixed"/>
        <w:tblCellMar>
          <w:top w:w="28" w:type="dxa"/>
          <w:left w:w="28" w:type="dxa"/>
          <w:bottom w:w="28" w:type="dxa"/>
          <w:right w:w="28" w:type="dxa"/>
        </w:tblCellMar>
      </w:tblPr>
      <w:tblGrid>
        <w:gridCol w:w="2131"/>
        <w:gridCol w:w="146"/>
        <w:gridCol w:w="1265"/>
        <w:gridCol w:w="155"/>
        <w:gridCol w:w="1265"/>
        <w:gridCol w:w="146"/>
        <w:gridCol w:w="1246"/>
        <w:gridCol w:w="146"/>
        <w:gridCol w:w="12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$17.73</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$10.62</w:t>
            </w:r>
            <w:r>
              <w:rPr>
                <w:rFonts w:ascii="Times New Roman" w:hAnsi="Times New Roman"/>
                <w:color w:val="000000"/>
                <w:sz w:val="20"/>
              </w:rPr>
              <w:t> </w:t>
            </w:r>
            <w:r>
              <w:rPr>
                <w:rFonts w:ascii="Times New Roman" w:hAnsi="Times New Roman"/>
                <w:color w:val="000000"/>
                <w:sz w:val="18"/>
              </w:rPr>
              <w:t>- $17.73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$12.90</w:t>
            </w:r>
            <w:r>
              <w:rPr>
                <w:rFonts w:ascii="Times New Roman" w:hAnsi="Times New Roman"/>
                <w:color w:val="000000"/>
                <w:sz w:val="20"/>
              </w:rPr>
              <w:t> </w:t>
            </w:r>
            <w:r>
              <w:rPr>
                <w:rFonts w:ascii="Times New Roman" w:hAnsi="Times New Roman"/>
                <w:color w:val="000000"/>
                <w:sz w:val="18"/>
              </w:rPr>
              <w:t>- $15.06</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82.5% - 85.6%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80.8% - 86.2%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81.9% - 86.4%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79.1% - 86.9%</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3.85% - 3.99%</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4.39% - 4.40%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3.85% - 4.42%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4.16% - 4.57%</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5.5</w:t>
            </w:r>
            <w:r>
              <w:rPr>
                <w:rFonts w:ascii="Times New Roman" w:hAnsi="Times New Roman"/>
                <w:color w:val="000000"/>
                <w:sz w:val="20"/>
              </w:rPr>
              <w:t> </w:t>
            </w:r>
            <w:r>
              <w:rPr>
                <w:rFonts w:ascii="Times New Roman" w:hAnsi="Times New Roman"/>
                <w:color w:val="000000"/>
                <w:sz w:val="18"/>
              </w:rPr>
              <w:t>- 7.0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5.5</w:t>
            </w:r>
            <w:r>
              <w:rPr>
                <w:rFonts w:ascii="Times New Roman" w:hAnsi="Times New Roman"/>
                <w:color w:val="000000"/>
                <w:sz w:val="20"/>
              </w:rPr>
              <w:t> </w:t>
            </w:r>
            <w:r>
              <w:rPr>
                <w:rFonts w:ascii="Times New Roman" w:hAnsi="Times New Roman"/>
                <w:color w:val="000000"/>
                <w:sz w:val="18"/>
              </w:rPr>
              <w:t>- 7.0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5.5 - 7.0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5.5 - 7.5</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8 - Collaboration Agreement</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tables present changes in the Company’s contract liabilities and revenue recognized under the Gilead Collaboration Agreement (in thousands):</w:t>
      </w:r>
    </w:p>
    <w:tbl>
      <w:tblPr>
        <w:tblW w:w="9831" w:type="dxa"/>
        <w:jc w:val="left"/>
        <w:tblInd w:w="0" w:type="dxa"/>
        <w:tblLayout w:type="fixed"/>
        <w:tblCellMar>
          <w:top w:w="28" w:type="dxa"/>
          <w:left w:w="28" w:type="dxa"/>
          <w:bottom w:w="28" w:type="dxa"/>
          <w:right w:w="28" w:type="dxa"/>
        </w:tblCellMar>
      </w:tblPr>
      <w:tblGrid>
        <w:gridCol w:w="3481"/>
        <w:gridCol w:w="346"/>
        <w:gridCol w:w="211"/>
        <w:gridCol w:w="676"/>
        <w:gridCol w:w="346"/>
        <w:gridCol w:w="346"/>
        <w:gridCol w:w="265"/>
        <w:gridCol w:w="531"/>
        <w:gridCol w:w="346"/>
        <w:gridCol w:w="346"/>
        <w:gridCol w:w="211"/>
        <w:gridCol w:w="736"/>
        <w:gridCol w:w="366"/>
        <w:gridCol w:w="346"/>
        <w:gridCol w:w="211"/>
        <w:gridCol w:w="676"/>
        <w:gridCol w:w="391"/>
      </w:tblGrid>
      <w:tr>
        <w:trPr/>
        <w:tc>
          <w:tcPr>
            <w:tcW w:w="34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Beginning</w:t>
              <w:br/>
              <w:t>of Period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Deductions</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End of</w:t>
              <w:br/>
              <w:t>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Nine Months Ended September 30, 2025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from a related party</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73,000</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(29,834</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44,078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pPr>
      <w:r>
        <w:rPr/>
        <w:t> </w:t>
      </w:r>
    </w:p>
    <w:tbl>
      <w:tblPr>
        <w:tblW w:w="10205" w:type="dxa"/>
        <w:jc w:val="left"/>
        <w:tblInd w:w="0" w:type="dxa"/>
        <w:tblLayout w:type="fixed"/>
        <w:tblCellMar>
          <w:top w:w="28" w:type="dxa"/>
          <w:left w:w="28" w:type="dxa"/>
          <w:bottom w:w="28" w:type="dxa"/>
          <w:right w:w="28" w:type="dxa"/>
        </w:tblCellMar>
      </w:tblPr>
      <w:tblGrid>
        <w:gridCol w:w="4818"/>
        <w:gridCol w:w="146"/>
        <w:gridCol w:w="256"/>
        <w:gridCol w:w="821"/>
        <w:gridCol w:w="176"/>
        <w:gridCol w:w="176"/>
        <w:gridCol w:w="256"/>
        <w:gridCol w:w="694"/>
        <w:gridCol w:w="146"/>
        <w:gridCol w:w="146"/>
        <w:gridCol w:w="242"/>
        <w:gridCol w:w="777"/>
        <w:gridCol w:w="167"/>
        <w:gridCol w:w="167"/>
        <w:gridCol w:w="242"/>
        <w:gridCol w:w="777"/>
        <w:gridCol w:w="198"/>
      </w:tblGrid>
      <w:tr>
        <w:trPr/>
        <w:tc>
          <w:tcPr>
            <w:tcW w:w="4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48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Collaboration revenue from a related party recognized in the period from: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included in deferred revenue from a related party at the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obligations satisfied in previous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October 2023, the Company entered into the Gilead Collaboration Agreement and the Gilead Equity Agreements under which it received total proceeds of $100.0 million. Under the Gilead Collaboration Agreement, Gilead exclusively licensed to the Company its HPI program and NNPI program, while retaining opt-in rights to these programs and has an option to take an exclusive license, on a program-by-program basis, to all of the Company’s other current and future pipeline programs. During the 12-year collaboration term (subject to payment of certain extension fees) and for a specified period thereafter, Gilead may exercise its opt-in rights, on a program-by-program basis, at one of two timepoints—completion of a certain Phase 1 study or completion of a certain Phase 2 study for the first product within the program—upon payment of an opt-in fee ranging from $45.0 million to $125.0 million per program depending on the type of program and when the option is exercised.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December 2024, the Company and Gilead entered into the First Amendment to the Gilead Collaboration Agreement, which restructured the timing of specific options exercisable in the agreement and the fees payable to the Company to support an accelerated development plan for ABI-6250 (6250). To facilitate this development plan, the Company received a non-refundable payment of $10.0 million from Gilead and the opt-in fee payable by Gilead in connection with 6250 was restructured, though it remains in the range of opt-in fees detailed above. The $10.0 million payment received in connection with the First Amendment to the Gilead Collaboration Agreement is creditable towards future collaboration-related payments payable by Gilead.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July 2025, the Company entered into a letter agreement with Gilead under which Gilead has agreed to reimburse the Company up to $1.5 million for certain nonclinical study activities, subject to the terms and conditions set forth in the agreement. The letter agreement does not amend any terms of the Gilead Collaboration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Gilead exercises its opt-in right to any current or future program under the collaboration, the Company is eligible to receive up to $330.0 million in potential regulatory and commercial milestones on that program, in addition to royalties ranging from the high single-digits to high teens, depending on the clinical stage of the program at the time of the opt-in. Following Gilead’s exercise of its option for each program, the Company may opt in to cover 40% of the research and development costs in the United States and share 40% of the profits and operating loss in the United States for products within the program in lieu of receiving milestones and royalties for that program in the United States, unless the Company later opts out of the cost/profit share for the program. Prior to Gilead’s potential exercise of its opt-in, the Company will be primarily responsible for all discovery, research and development on its programs and the two Gilead-contributed programs. Following Gilead’s opt-in, Gilead will control the further discovery, research, development, and commercialization on any optioned programs. During the term, Gilead will continue to support the collaboration through extension fees of $75.0 million in each of the third, fifth and seventh anniversaries of the collaboration.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Gilead Collaboration Agreement is subject to termination by either party for the other party’s uncured, material breach or insolvency. Subject to certain limitations, the Company and Gilead both have certain termination for convenience rights, upon sufficient prior written notice, with respect to programs that one party in-licenses from the other (subject to Gilead’s option rights), and with respect to Gilead, for programs it has option rights to (subject to certain time limitations with respect to existing Company programs). Gilead also has a right to terminate the collaborative activities under the Gilead Collaboration Agreement at certain specified points during the collaboration term. Other customary termination rights are further provided in the Gilead Collaboration Agreement.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the commencement of the arrangement, the Company concluded Gilead was a customer and accordingly, the Gilead Collaboration Agreement was within the scope of the revenue from contracts with customers guidance. The Company initially identified a single combined performance obligation for the discovery, research and development services (the R&amp;D Services) consisting of a series of distinct services that were substantially the same and had the same pattern of transfer. The Company concluded the R&amp;D Services were distinct from Gilead's right to obtain an exclusive license to any of the Company's programs as Gilead benefits from the knowledge and expertise gained from the R&amp;D Services and the Company's know-how is not highly specialized in nature. Gilead could perform the R&amp;D Services themselves, particularly considering Gilead contributed its HPI and NNPI programs and Gilead may continue to conduct development activities on programs being developed under the Gilead Collaboration Agreement. None of the options in the contract were deemed to be separate performance obligations as the options did not provide any discounts or other rights which would be considered a material right in the arrangement.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July 2025, the Company determined the letter agreement represents a contract modification within the scope of the revenue from contracts with customers guidance upon its execution. The Company concluded no new distinct performance obligations were introduced in the letter agreement and there continues to be a single combined performance obligation consisting of a series of distinct R&amp;D Services, and therefore, the remaining services under the modified Gilead Collaboration Agreement are distinct from the R&amp;D Services already provided. Accordingly, the Company accounted for the letter agreement as a termination of the existing contract and the creation of a new contract and is recognizing the revenue prospectively by reassessing the transaction price and allocating it to the remaining R&amp;D Services.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amended transaction price as a result of the modification, and as of September 30, 2025, was determined to be $54.1 million, consisting of the unrecognized portion of the transaction price under the contract immediately before the modification and $1.1 million of variable consideration for reimbursable costs expected to be incurred pursuant to the letter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variable consideration related to the regulatory and commercial milestones has not been included in the transaction price as of September 30, 2025, since Gilead has not opted in to take a license to any of the Company's programs. Any variable consideration related to sales-based milestones (including royalties) will be recognized when the related sales occur pursuant to the Gilead Collaboration Agreement. The Company will reevaluate the transaction price in each reporting period as uncertain events are resolved or other changes in circumstances occur.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transaction price is reflected as collaboration revenue when realized in the Company’s condensed consolidated statements of operations. The Company recognizes revenue over time using a cost-based input method, based on internal and external labor cost effort to perform the services, over the initial non-cancellable term of three years since this method best reflects the transfer of services to Gilead. In applying a cost-based input method of revenue recognition, the Company uses actual costs incurred relative to estimated total costs to fulfill each performance obligation. A cost-based input method of revenue recognition requires the Company to make estimates of costs to complete the performance obligation. The cumulative effect of any revisions to estimated costs to complete the performance obligation and associated variable consideration will be recorded in the period in which changes are identified and amounts can be reasonably estimated. A significant change in these assumptions and estimates could have a material impact on the timing and amount of revenue recognized in future periods.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recognized $10.8 million and $6.8 million of collaboration revenue under the Gilead Collaboration Agreement during the three months ended September 30, 2025 and 2024, respectively. The Company recognized $29.8 million and $21.2 million of collaboration revenue under the Gilead Collaboration Agreement during the nine months ended September 30, 2025 and 2024, respectively. The transaction price for remaining collaborative activities was recorded as deferred revenue on the condensed consolidated balance sheet as of September 30, 2025, of which $42.4 million was short-term and $1.7 million was long-term. As of September 30, 2025, the Company recorded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accounts receivable from collaboration of $0.9 million for reimbursable costs incurred under the Gilead Collaboration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reimbursable expenses incurred by the Company during the three months ended September 30, 2025 and 2024 were insignificant. The Company incurred $0.1 million and $0.3 million in reimbursable expenses due to Gilead during the nine months ended September 30, 2025 and 2024, respectively. </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9 - Segment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operates as a single operating segment focusing on developing innovative therapeutics targeting serious viral diseases. The measure of segment profit or loss used by the Company's chief operating decision maker (CODM) to evaluate performance and allocate resources is consolidated net loss as reported in the Company's condensed consolidated statements of operations. This measure is used by the CODM to assess the Company's cash runway and make strategic decisions about resource allocation. The CODM does not use asset measures to evaluate segment performance or make resource allocation decisions.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table presents the significant segment expenses and other segment items regularly reviewed by the Company's CODM: </w:t>
      </w:r>
    </w:p>
    <w:tbl>
      <w:tblPr>
        <w:tblW w:w="10161" w:type="dxa"/>
        <w:jc w:val="left"/>
        <w:tblInd w:w="0" w:type="dxa"/>
        <w:tblLayout w:type="fixed"/>
        <w:tblCellMar>
          <w:top w:w="28" w:type="dxa"/>
          <w:left w:w="28" w:type="dxa"/>
          <w:bottom w:w="28" w:type="dxa"/>
          <w:right w:w="28" w:type="dxa"/>
        </w:tblCellMar>
      </w:tblPr>
      <w:tblGrid>
        <w:gridCol w:w="3866"/>
        <w:gridCol w:w="271"/>
        <w:gridCol w:w="870"/>
        <w:gridCol w:w="213"/>
        <w:gridCol w:w="187"/>
        <w:gridCol w:w="271"/>
        <w:gridCol w:w="870"/>
        <w:gridCol w:w="166"/>
        <w:gridCol w:w="271"/>
        <w:gridCol w:w="248"/>
        <w:gridCol w:w="866"/>
        <w:gridCol w:w="195"/>
        <w:gridCol w:w="171"/>
        <w:gridCol w:w="248"/>
        <w:gridCol w:w="866"/>
        <w:gridCol w:w="166"/>
        <w:gridCol w:w="416"/>
      </w:tblGrid>
      <w:tr>
        <w:trPr/>
        <w:tc>
          <w:tcPr>
            <w:tcW w:w="38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 from a related party</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External program expenses:</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ABI-5366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ABI-1179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ABI-6250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ABI-4334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ABI-7272 </w:t>
            </w:r>
            <w:r>
              <w:rPr>
                <w:rFonts w:ascii="Times New Roman" w:hAnsi="Times New Roman"/>
                <w:color w:val="000000"/>
                <w:sz w:val="13"/>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discovery</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Vebicorvir</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3"/>
              </w:rPr>
            </w:pPr>
            <w:r>
              <w:rPr>
                <w:rFonts w:ascii="Times New Roman" w:hAnsi="Times New Roman"/>
                <w:color w:val="000000"/>
                <w:sz w:val="13"/>
              </w:rPr>
              <w:t>(2)</w:t>
            </w:r>
          </w:p>
        </w:tc>
      </w:tr>
      <w:tr>
        <w:trPr/>
        <w:tc>
          <w:tcPr>
            <w:tcW w:w="3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external program expenses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Employee and contractor-related expenses </w:t>
            </w:r>
            <w:r>
              <w:rPr>
                <w:rFonts w:ascii="Times New Roman" w:hAnsi="Times New Roman"/>
                <w:color w:val="000000"/>
                <w:sz w:val="13"/>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Facility and other expenses</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47,563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(9,196</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(28,212</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(29,842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sans-serif" w:hAnsi="sans-serif"/>
          <w:sz w:val="22"/>
        </w:rPr>
      </w:pPr>
      <w:r>
        <w:rPr>
          <w:rFonts w:ascii="Times New Roman" w:hAnsi="Times New Roman"/>
          <w:color w:val="000000"/>
          <w:sz w:val="20"/>
        </w:rPr>
        <w:t>In October 2025, the Company transitioned its discovery and development</w:t>
      </w:r>
      <w:r>
        <w:rPr>
          <w:rFonts w:ascii="sans-serif" w:hAnsi="sans-serif"/>
          <w:color w:val="000000"/>
          <w:sz w:val="22"/>
        </w:rPr>
        <w:t xml:space="preserve"> </w:t>
      </w:r>
      <w:r>
        <w:rPr>
          <w:rFonts w:ascii="Times New Roman" w:hAnsi="Times New Roman"/>
          <w:color w:val="000000"/>
          <w:sz w:val="20"/>
        </w:rPr>
        <w:t>from ABI-7423 to its parent molecule, ABI-7272, which is currently in regulatory filing-enabling preclinical studies.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net amounts refundable to the Company after the final reconciliation of clinical trial costs received in October 2024 under the Clinical Trial Collaboration Agreement with Arbutus Biopharma Corporation, which was terminated in February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sans-serif" w:hAnsi="sans-serif"/>
          <w:sz w:val="22"/>
        </w:rPr>
      </w:pPr>
      <w:r>
        <w:rPr>
          <w:rFonts w:ascii="Times New Roman" w:hAnsi="Times New Roman"/>
          <w:color w:val="000000"/>
          <w:sz w:val="20"/>
        </w:rPr>
        <w:t>Includes stock-based compensation expense, see Note 7</w:t>
      </w:r>
      <w:r>
        <w:rPr>
          <w:rFonts w:ascii="sans-serif" w:hAnsi="sans-serif"/>
          <w:color w:val="000000"/>
          <w:sz w:val="22"/>
        </w:rPr>
        <w:t xml:space="preserve"> </w:t>
      </w:r>
      <w:r>
        <w:rPr>
          <w:rFonts w:ascii="Times New Roman" w:hAnsi="Times New Roman"/>
          <w:color w:val="000000"/>
          <w:sz w:val="20"/>
        </w:rPr>
        <w:t>- Stock-Based Compensation for further details.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The condensed consolidated financial statements and this Management’s Discussion and Analysis of Financial Condition and Results of Operations should be read in conjunction with the consolidated financial statements and notes thereto for the year ended December 31, 2024 and the related Management’s Discussion and Analysis of Financial Condition and Results of Operations, both of which are contained in our Annual Report on Form 10-K for the fiscal year ended December 31, 2024 filed with the U.S. Securities and Exchange Commission on March 20, 2025 (2024 Annual Report). In addition to historical information, this discussion and analysis contains forward-looking statements that involve risks and uncertainties. Our actual results could differ materially from those expressed or implied in any forward-looking statements as a result of various factors, including those set forth under “Part I. Item 1A. Risk Factors” in our 2024 Annual Report and “Part II. Item 1A. Risk Factors” in this report.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are a biotechnology company developing innovative therapeutics targeting serious viral diseases with the potential to improve the lives of patients worldwide. Our pipeline includes multiple clinical-stage investigational therapies, including: (1) two helicase-primase inhibitors (HPIs) targeting herpes simplex virus (HSV) for the treatment of recurrent genital herpes; (2) an orally bioavailable hepatitis delta virus (HDV) entry inhibitor; and (3) a highly potent next-generation capsid assembly modulator (CAM) designed to disrupt the replication cycle of hepatitis B virus (HBV) at several key points. Our pipeline also includes a novel, oral broad-spectrum non-nucleoside polymerase inhibitor (NNPI) targeting transplant-related herpesviruses, which is currently undergoing studies to enable a regulatory filing, and we have additional research programs against multiple antiviral targets. We currently have corporate and administrative offices and research laboratory space in South San Francisco, California.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Our Clinical Programs and Regulatory Filing-Enabling Program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Since the beginning of 2024, we have initiated: (1) both the Phase 1a and Phase 1b portions of a Phase 1a/b study of ABI-5366 (5366), a long-acting HPI for the treatment of recurrent genital herpes; (2) both the Phase 1a and Phase 1b portions of a Phase 1a/b study of ABI-1179 (1179), also a long-acting HPI for recurrent genital herpes; (3) a Phase 1a study of ABI-6250 (6250), an orally bioavailable HDV entry inhibitor; and (4) a Phase 1b study of ABI-4334 (4334), a highly potent, next-generation CAM for chronic HBV infection.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announced interim results from the Phase 1a portion of the 5366 study in September 2024 and interim results from the Phase 1b portion of the 5366 study in August 2025, interim results from the Phase 1a portion of the 1179 study in February 2025, interim results from the Phase 1a study of 6250 in August 2025 and topline results from the Phase 1b study of 4334 in June 2025.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in December 2024, we identified a development candidate, ABI-7423 (7423), in our broad-spectrum NNPI program targeting transplant-associated herpesviruses. 7423 is a prodrug, and in October 2025, we transitioned our discovery and development from 7423 to its parent molecule, ABI-7272 (7272), which is currently in regulatory filing-enabling preclinical studies.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Recurrent Genital Herpes/HSV-1 and HSV-2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Genital herpes can be caused by either HSV type 1 (HSV-1) or HSV type 2 (HSV-2). HSV-1 and HSV-2 are acquired by oral or genital contact either during symptomatic or asymptomatic reactivation of the virus. Both viruses replicate in neurons, where they can remain latent for the rest of the individual’s life and periodically reactivate, with the virus spreading, replicating and causing disease in epithelial tissues. Initial infection can be asymptomatic or can be marked by serious symptoms, including painful skin lesions, swelling of lymph nodes and urinary problems that can persist for two to three weeks. While genital herpes can be caused by either HSV-1 or HSV-2, recurrences are more likely to be experienced by individuals infected by HSV-2. Genital herpes recurrence can cause painful genital lesions that can lead to increased transmission and debilitate patients, and symptoms may become more serious with additional episodes. Additional complications include increased risk of HIV infection, as 30% of HIV infections acquired through sexual transmission are attributable to HSV-2 infection. In addition, people with recurrent genital herpes often experience associated psychosocial impacts, including anxiety, concerns about transmission, depression and social stigma. Immunocompromised individuals may experience more severe and prolonged symptoms due to increased recurrence rates.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HPIs are antiviral agents in development for the treatment of recurrent genital herpes, with a clinically-validated mechanism of action. HPIs inhibit the HSV helicase-primase complex, which is a unique viral enzyme complex without a human homolog, consisting of helicase, primase and cofactor subunits. These subunits have functions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are essential for HSV DNA replication and are conserved across HSV-1 and HSV-2. Unlike nucleoside analogs, these compounds do not require phosphorylation by the HSV thymidine kinase (TK) and ongoing viral replication to become active drugs. As a result, HPIs are active immediately upon reactivation of latent HSV-1 and HSV-2. Furthermore, HPIs are active against TK-deficient HSV-1 and HSV-2, which is a major mechanism of resistance to nucleoside analogs.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Most people with initial symptomatic genital herpes who are infected with HSV-2 have frequent recurrences, generally between three and 15 per year. This includes an estimated population of over four million people in the United States and France, Germany, Italy and Spain (collectively, the EU4) and the United Kingdom (UK). In addition, over eight million people have been diagnosed with genital herpes, and it is estimated that there are over 60 million people living with HSV-2 infection. Currently, there are three antiviral drugs (all nucleoside analogs) that have been approved in the United States and the EU4/UK for the treatment of genital herpes. However, no new drugs have been approved in these regions to treat genital herpes for more than 25 years. In addition to the approved nucleoside analogs, agents such as local anesthetics or analgesics may be used to alleviate local symptoms of minor pain and discomfort. </w:t>
      </w:r>
    </w:p>
    <w:p>
      <w:pPr>
        <w:pStyle w:val="TextBody"/>
        <w:bidi w:val="0"/>
        <w:spacing w:before="200" w:after="283"/>
        <w:jc w:val="both"/>
        <w:rPr>
          <w:rFonts w:ascii="Times New Roman" w:hAnsi="Times New Roman"/>
          <w:sz w:val="20"/>
        </w:rPr>
      </w:pPr>
      <w:r>
        <w:rPr>
          <w:rFonts w:ascii="Times New Roman" w:hAnsi="Times New Roman"/>
          <w:color w:val="000000"/>
          <w:sz w:val="20"/>
        </w:rPr>
        <w:t>Nucleoside analogs can be administered as episodic therapy as individual outbreaks arise or daily as chronic suppressive therapy for those with high post-exposure recurrences. However, these agents are only partially effective at controlling the infection or reducing transmission risk. With current nucleoside analog therapies, only one out of three people with recurrent genital herpes with six or more recurrences per year are able to make it through a year of treatment without a recurrence. There are still high titer (greater than 10</w:t>
      </w:r>
      <w:r>
        <w:rPr>
          <w:rFonts w:ascii="Times New Roman" w:hAnsi="Times New Roman"/>
          <w:color w:val="000000"/>
          <w:sz w:val="13"/>
        </w:rPr>
        <w:t>4</w:t>
      </w:r>
      <w:r>
        <w:rPr>
          <w:rFonts w:ascii="Times New Roman" w:hAnsi="Times New Roman"/>
          <w:color w:val="000000"/>
          <w:sz w:val="20"/>
        </w:rPr>
        <w:t xml:space="preserve"> HSV-2 DNA copies/mL) shedding episodes under this current standard of care for recurrent genital herpes, which can lead to recurrent episodes and transmission of genital herpes. In addition, nucleoside analogs also carry a high pill burden as a lifelong daily treatment, with doses ranging from one to three times daily. There is also high treatment variability among those taking nucleoside analogs, as many seeking care may not consistently receive suppressive therapy.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the limitations of current therapies, we see a path to advancing the treatment paradigm for people suffering from recurrent genital herpes. To reach that goal, we discovered and are developing a novel, potent, long-acting HPI for recurrent genital herpes, 5366, which demonstrated low nanomolar potency in vitro against both HSV-1 and HSV-2 clinical isolates and a favorable nonclinical safety profile in the U.S. Food and Drug Administration's (FDA) Good Laboratory Practice (GLP) toxicology studies. In addition, we are developing a second novel, potent, long-acting HPI for genital herpes, 1179, which was exclusively in-licensed to us as part of our collaboration with Gilead, and also has demonstrated low nanomolar potency in vitro against both HSV-1 and HSV-2 clinical isolates and a favorable nonclinical safety profile in the FDA's GLP toxicology studies.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September 2024, we announced positive interim data for the Phase 1a portion of a Phase 1a/b clinical study of 5366, and in April 2025, we announced additional data for the Phase 1a portion of the study at the 2025 Congress of the European Society of Clinical Microbiology and Infectious Diseases and an encore presentation at the STI &amp; HIV World Congress in July 2025. Interim results exceeded our objectives for this Phase 1a study and supported 5366’s progression into the Phase 1b portion of the study, which we initiated during the third quarter of 2024. Across the Part A (Phase 1a) cohorts evaluated, 5366 had a mean half-life of approximately 20 days when dosed orally, supporting once-weekly oral dosing, the target profile for 5366, as well as showing the potential for once-monthly oral dosing. We are exploring both once-weekly and once-monthly oral dosing regimens in the Part B (Phase 1b) portion of the study.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Part A cohorts, 5366 has been well-tolerated with a favorable safety profile observed when administered orally up to 350 mg, with exposure up to 98 days. Treatment-emergent adverse events (AEs) were all mild to moderate in intensity and all were considered not related to study treatment by the study investigators; there have been no serious AEs in any dose arm. There were no treatment-related Grade 3 or 4 laboratory abnormalities and no protocol-defined stopping criteria were met. There were no clinically significant electrocardiogram (ECG) abnormalities or patterns of AEs or laboratory abnormalities noted.</w:t>
      </w:r>
    </w:p>
    <w:p>
      <w:pPr>
        <w:pStyle w:val="TextBody"/>
        <w:bidi w:val="0"/>
        <w:spacing w:before="200" w:after="283"/>
        <w:jc w:val="both"/>
        <w:rPr>
          <w:rFonts w:ascii="Times New Roman" w:hAnsi="Times New Roman"/>
          <w:sz w:val="20"/>
        </w:rPr>
      </w:pPr>
      <w:r>
        <w:rPr>
          <w:rFonts w:ascii="Times New Roman" w:hAnsi="Times New Roman"/>
          <w:color w:val="000000"/>
          <w:sz w:val="20"/>
        </w:rPr>
        <w:t>We reported interim data from the Phase 1b portion of the 5366 study in August 2025. For the powered antiviral endpoint, HSV-2 shedding rate, highly potent antiviral activity was observed with a 94% reduction compared to placebo (p&lt;0.01) over the 29-day evaluation period in the cohort evaluating a 350 mg weekly dose. This reduction exceeded our target for the study of an 80%-85% reduction in the rate of HSV-2 shedding. For a secondary clinical endpoint of genital lesion rate, a 94% reduction compared to placebo (p&lt;0.01) was observed with the 350 mg weekly dose. The rate of samples with high viral load (i.e., &gt;10</w:t>
      </w:r>
      <w:r>
        <w:rPr>
          <w:rFonts w:ascii="Times New Roman" w:hAnsi="Times New Roman"/>
          <w:color w:val="000000"/>
          <w:sz w:val="13"/>
        </w:rPr>
        <w:t>4</w:t>
      </w:r>
      <w:r>
        <w:rPr>
          <w:rFonts w:ascii="Times New Roman" w:hAnsi="Times New Roman"/>
          <w:color w:val="000000"/>
          <w:sz w:val="20"/>
        </w:rPr>
        <w:t>copies/mL HSV DNA), a potential surrogate for HSV-2 transmission and a secondary endpoint, was reduced by 98% compared to placebo (p&lt;0.05) in this cohort.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5366 was observed to be well-tolerated at once-a-week oral doses up to 350 mg in participants seropositive for HSV-2 with recurrent genital herpes. Of the treatment-emergent AEs reported, the majority were Grade 1 or Grade 2. One grade 3 AE was reported, hypertriglyceridemia, in a participant with relevant medical history who had Grade 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elevated triglycerides pre-dose on Day 1. This AE resulted in study discontinuation but was not considered treatment related. There were three participants with treatment-emergent Grade 3 laboratory abnormalities, all considered unrelated to assigned treatment: an exercise-associated elevation in creatine kinase, a decrease in neutrophils and an elevation of cholesterol in the follow-up period in a participant that had a grade 2 elevation at baseline. There did not appear to be a dose-response relationship in either the frequency or severity of treatment-emergent AEs or laboratory abnormalities. There have been no serious AEs reported to date.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Enrollment for the Phase 1b portion of the 5366 study is complete. The observed nonclinical pharmacokinetic PK profile continues to support once-weekly dosing and the potential for once-monthly oral dosing regimens. With these data, we expect to move directly into Phase 2 clinical study preparation for a once-weekly treatment regimen in parallel with completion of this Phase 1b study, which includes an ongoing cohort evaluating a monthly oral dosing regimen. The in-life portions of chronic toxicology studies of 5366 are now complete and these studies are expected to support longer-term dosing in Phase 2.</w:t>
      </w:r>
    </w:p>
    <w:p>
      <w:pPr>
        <w:pStyle w:val="TextBody"/>
        <w:bidi w:val="0"/>
        <w:spacing w:before="200" w:after="283"/>
        <w:jc w:val="both"/>
        <w:rPr>
          <w:rFonts w:ascii="Times New Roman" w:hAnsi="Times New Roman"/>
          <w:sz w:val="20"/>
        </w:rPr>
      </w:pPr>
      <w:r>
        <w:rPr>
          <w:rFonts w:ascii="Times New Roman" w:hAnsi="Times New Roman"/>
          <w:color w:val="000000"/>
          <w:sz w:val="20"/>
        </w:rPr>
        <w:t>A late-breaking oral presentation of the interim Phase 1b data reported in August 2025 was presented at the 38</w:t>
      </w:r>
      <w:r>
        <w:rPr>
          <w:rFonts w:ascii="Times New Roman" w:hAnsi="Times New Roman"/>
          <w:color w:val="000000"/>
          <w:sz w:val="13"/>
        </w:rPr>
        <w:t>th</w:t>
      </w:r>
      <w:r>
        <w:rPr>
          <w:rFonts w:ascii="Times New Roman" w:hAnsi="Times New Roman"/>
          <w:color w:val="000000"/>
          <w:sz w:val="20"/>
        </w:rPr>
        <w:t xml:space="preserve"> Congress of the International Union Against Sexually Transmitted Infections – Europe, which took place in October 2025 in Athens, Greece.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to 5366, we are also advancing 1179, a structurally-differentiated HPI with single digit nanomolar potency against HSV-1 and HSV-2 and a PK and safety profile to date that is supportive of a potential long-acting treatment by once-weekly oral administration. We submitted the Clinical Trial Application for a Phase 1a/b study of 1179 in September 2024, which was approved in October 2024. We dosed our first participant in the Phase 1a portion of this study during the fourth quarter of 2024.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February 2025, we announced positive interim data for the Phase 1a portion of the 1179 study, and in July 2025, we announced additional data for the Phase 1a portion of the study at the STI &amp; HIV 2025 World Congress. Interim results exceeded our objectives for this Phase 1a study and support 1179’s progression into Phase 1b, and we dosed our first participant in the Phase 1b portion of the study in participants with recurrent genital herpes during the second quarter of 2025. We submitted an Investigational New Drug (IND) application in May 2025 to support expansion of the Phase 1b study to sites in the United States, and we received clearance for the IND in June 2025. </w:t>
      </w:r>
    </w:p>
    <w:p>
      <w:pPr>
        <w:pStyle w:val="TextBody"/>
        <w:bidi w:val="0"/>
        <w:spacing w:before="200" w:after="283"/>
        <w:jc w:val="both"/>
        <w:rPr>
          <w:rFonts w:ascii="Times New Roman" w:hAnsi="Times New Roman"/>
          <w:sz w:val="20"/>
        </w:rPr>
      </w:pPr>
      <w:r>
        <w:rPr>
          <w:rFonts w:ascii="Times New Roman" w:hAnsi="Times New Roman"/>
          <w:color w:val="000000"/>
          <w:sz w:val="20"/>
        </w:rPr>
        <w:t>In all three single-dose Phase 1a cohorts completed to date (50 mg, 100 mg and 300 mg), 1179 has been well-tolerated with a favorable safety profile observed. Treatment-emergent AEs were generally Grade 1 in intensity and all were considered not related to study treatment by the study investigators; there have been no serious AEs in any dose cohort. A single, self-limited Grade 2 alanine transaminase (ALT) elevation was observed in a subject receiving the highest dose of 300 mg. There were no clinically significant ECG abnormalities, no significant treatment-related laboratory abnormalities and no protocol-defined stopping criteria were met. Plasma concentrations exceeded necessary protein-adjusted EC</w:t>
      </w:r>
      <w:r>
        <w:rPr>
          <w:rFonts w:ascii="Times New Roman" w:hAnsi="Times New Roman"/>
          <w:color w:val="000000"/>
          <w:sz w:val="13"/>
        </w:rPr>
        <w:t xml:space="preserve">50 </w:t>
      </w:r>
      <w:r>
        <w:rPr>
          <w:rFonts w:ascii="Times New Roman" w:hAnsi="Times New Roman"/>
          <w:color w:val="000000"/>
          <w:sz w:val="20"/>
        </w:rPr>
        <w:t xml:space="preserve">for inhibition of HSV replication at all dose levels and the observed half-life of approximately four days supports weekly dosing, the target profile for 1179.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Phase 1b study of 1179 is ongoing concurrently with the ongoing Phase 1b evaluation of 5366, our other long-acting HPI candidate that began dosing in Phase 1b in the fourth quarter of 2024. Enrollment for two cohorts of the Phase 1b portion of the 1179 study is complete. We plan to report interim data on two cohorts of weekly dosing of 1179 and one cohort of monthly dosing of 5366 by the end of 2025, which are expected to be presented together once all virology analyses are completed. The completion of the Phase 1b studies of both 5366 and 1179 constitute an option triggering point under the terms of the Gilead Collaboration Agreement, as defined below under "Collaboration and License Agreement — Gilead Sciences, Inc."</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HBV and HDV Programs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World Health Organization (WHO) estimates that 254 million people worldwide are chronically infected with HBV as of 2022, and 1.2 million new infections occur each year. HBV is a leading global cause of chronic liver disease and liver transplants, and the WHO estimates that 1.1 million people died in 2022 from HBV, mostly due to cirrhosis and hepatocellular carcinoma. As of 2022, only approximately 33 million, or 13%, of those chronically infected with HBV, were aware of their infection, and only approximately 7 million, or 3%, of those diagnosed received treatment. HBV is a highly prevalent disease that infects almost three times the number of people infected with hepatitis C virus and HIV infections combined, according to the WHO.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current standard of care for chronic HBV infection, nucleos(t)ide analog reverse transcriptase inhibitors (NrtIs), are taken life-long and reduce, but do not eliminate, the virus and result in very low cure rates. No new mechanisms of action (MOA) have been approved for the treatment of chronic HBV infection in over 25 years. The focus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HBV program is to improve outcomes and increase the number of patients diagnosed and treated through the development of finite and curative therapies targeting an orthogonal MOA.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HDV is a “satellite virus” of HBV because it can only infect people (1) who are already infected with HBV or (2) at the same time as a person is infected with HBV. HDV affects a subset of approximately 12 to 72 million HBV infected people. These individuals infected with HDV, which comprise an estimated 4.5% of hepatitis B surface antigen (HBsAg) positive individuals, experience a substantially increased disease burden, as they account for 18% of cirrhosis and 20% of hepatocellular carcinoma associated with HBV. HDV is considered the most severe form of hepatitis, as 70% of individuals infected with HDV progress to cirrhosis within ten years. While HDV is less prevalent in the United States, it is a significant and serious health problem with inadequate treatment in many parts of Europe, Africa, the Middle East, East Asia and parts of South America. HDV may be significantly underdiagnosed, because there were no HDV-targeted therapies approved until very recently, and the first therapy approved is only approved in Europe. HDV is known to accelerate disease progression and increase the incidence of liver cirrhosis and liver cancer, which results in higher morbidity and mortality rates than HBV alone.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current standard of care treatment for HDV is off-label pegylated interferon-α (IFN-α) injected weekly or, in Europe, a large, complex peptide inhibitor that requires daily injections, bulevirtide. There are no approved HDV treatments in the United States, and bulevirtide is the only approved HDV treatment in Europe. We believe a safe and effective oral small molecule entry inhibitor would be a significant innovation for people living with HDV, who face a significant and immediate disease burden.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HDV Entry Inhibitor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HDV is a small RNA virus that encodes just two viral proteins and relies on host enzymes as well as the HBsAg from HBV to replicate, which limits the number of HDV-specific antiviral targets. Similar to HBV, HDV utilizes HBsAg to enter hepatocytes by binding the cellular transmembrane protein sodium taurocholate co-transporting peptide (NTCP). NTCP is highly expressed on human hepatocytes, where it serves as one of several proteins involved in the transport of bile acids. The binding of specific small or large molecules to NTCP has been shown to effectively inhibit the interaction of HBsAg with NTCP, which prevents HBV and HDV from infecting hepatocytes.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inhibition of HBV and HDV infection by molecules that bind NTCP has been demonstrated in vitro, in animal models and clinically. Notably, bulevirtide, a peptide blocker of NTCP, is the only approved therapy for HDV (approved in Europe). Our novel small molecule entry inhibitor, 6250 uses the same clinically-validated MOA as bulevirtide. The binding of NTCP-targeted HBV/HDV entry inhibitors to NTCP has also been shown to inhibit the transport of certain bile acids into cells, which results in plasma elevations of bile acids; this effect has been well-tolerated clinically and may serve as a biomarker of pharmacologically active concentrations of drug in the plasma. In nonclinical studies in non-human primates, clinically-relevant doses of 6250 elevated bile acids to levels similar to those seen in humans with bulevirtide.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believe a safe and effective oral small molecule entry inhibitor would be a significant innovation for people living with HDV and could significantly improve treatment uptake and diagnosis rates, especially when compared with currently available injectable 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September 2023, we nominated 6250, a novel, orally bioavailable small molecule designed to inhibit entry of HBV and HDV by targeting NTCP. In nonclinical studies, 6250 demonstrated low nanomolar potency against all tested HBV/HDV genotypes, favorable selectivity for NTCP versus other bile acid transporters, good oral bioavailability and a PK profile in nonclinical species projected to support once-daily oral dosing. In GLP toxicology studies, 6250 demonstrated a favorable nonclinical safety profile with wide safety margins.</w:t>
      </w:r>
    </w:p>
    <w:p>
      <w:pPr>
        <w:pStyle w:val="TextBody"/>
        <w:bidi w:val="0"/>
        <w:spacing w:before="200" w:after="283"/>
        <w:jc w:val="both"/>
        <w:rPr>
          <w:rFonts w:ascii="Times New Roman" w:hAnsi="Times New Roman"/>
          <w:sz w:val="20"/>
        </w:rPr>
      </w:pPr>
      <w:r>
        <w:rPr>
          <w:rFonts w:ascii="Times New Roman" w:hAnsi="Times New Roman"/>
          <w:color w:val="000000"/>
          <w:sz w:val="20"/>
        </w:rPr>
        <w:t>At the European Association for the Study of the Liver's International Liver Congress</w:t>
      </w:r>
      <w:r>
        <w:rPr>
          <w:rFonts w:ascii="Times New Roman" w:hAnsi="Times New Roman"/>
          <w:color w:val="000000"/>
          <w:sz w:val="13"/>
        </w:rPr>
        <w:t xml:space="preserve">TM </w:t>
      </w:r>
      <w:r>
        <w:rPr>
          <w:rFonts w:ascii="Times New Roman" w:hAnsi="Times New Roman"/>
          <w:color w:val="000000"/>
          <w:sz w:val="20"/>
        </w:rPr>
        <w:t xml:space="preserve">in May 2025 and an encore presentation at the 2025 International HBV meeting in September 2025, 6250 was featured in a poster presentation highlighting nonclinical data supporting the advancement of 6250 into an ongoing Phase 1a clinical study, which was initiated during the fourth quarter of 2024.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August 2025, we announced interim PK, biomarker and safety data from single-ascending and multiple-ascending doses cohorts in healthy participants. Across the cohorts evaluated to date, a mean half-life of approximately four days was observed for 6250 when dosed orally, supporting the once-daily oral dosing profile target. Given this half-life, accumulation was observed in the multiple-dose cohorts with exposures on the last day of dosing generally reaching six- to seven-fold higher than the exposure seen after the first dose.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Dose-dependent elevations of total serum bile acids (TBAs) were observed for both the 5 mg and 25 mg single-dose cohorts, indicative of NTCP target engagement. In the highest single-dose cohort of 25 mg, coproporphyrin I (CP-1), a biomarker for off-target engagement of the organic anion transporters, OATP1B1 and/or OATP1B3, was also elevated. CP-1 elevation was not noted at the other doses.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Given the predicted 6250 accumulation driven by the long half-life and the observed elevations TBAs for the single-dose cohorts, doses at and below 1 mg daily were selected for the multiple-dose cohorts to characterize the lower end of the dose-response curve. Elevation of TBAs was observed for both the 0.2 mg and 1 mg daily multiple-dose cohorts, consistent with the respective 6250 exposures. Minimal TBA elevation was observed in the 0.05 mg daily multiple-dose cohort.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Treatment-emergent AEs and laboratory abnormalities were all Grade 1 or 2 in severity with the majority being Grade 1. There were no serious AEs in any dose cohort. No protocol defined stopping criteria were met. There were no clinically significant ECG abnormalities or patterns of AEs noted.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One Grade 2 ALT elevation was observed in the cohort evaluating the highest single-dose level of 25 mg. In this cohort, off-target engagement of other liver transporters was also seen as indicated by elevated CP-1 levels. Grade 1 ALT elevations were observed at a low frequency across the other cohorts. All ALT elevations were self-limited, and none were accompanied with elevations in bilirubin or other markers of liver injury.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elevations resolved in the study period with ongoing drug exposure due to 6250's four-day half-life. We have completed enrollment and the follow-up period in the Phase 1a study, and we are preparing for Phase 2 clinical studies in parallel with the completion of ongoing chronic toxicology studies.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Capsid Assembly Modulator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HBV is a DNA virus that infects hepatocytes and establishes a reservoir of covalently closed circular DNA (cccDNA), a unique viral DNA species that resides in the nucleus of HBV-infected hepatocytes and is associated with viral persistence and chronic infection. No currently approved oral therapies target cccDNA activity directly. As a result, we have worked to discover and develop compounds targeting the core protein, a viral protein involved in numerous aspects of the HBV replication cycle, including the generation of HBV cccDNA.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benchmark for therapeutic agents aiming to decrease cccDNA levels is the use of several key viral antigens as surrogate biomarkers of active cccDNA. The same biomarkers can be used in both primary human hepatocytes and infected individuals. On this basis, our next-generation CAM, 4334, has shown nonclinical proof of principle. In a variety of cell culture models, 4334 has demonstrated the ability to reduce production of HBV DNA levels as well as the surrogate markers for cccDNA establishment: HBV e antigen (HBeAg), HBV core-related antigen (HBcrAg) and HBV pre-genomic RNA (pgRNA).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next-generation CAM, 4334 was optimized to potently disrupt viral replication (MOA #1) and prevent the establishment and replenishment of new cccDNA (MOA #2). In contrast, while they are active against MOA #1, first-generation CAMs have not demonstrated adequate potency to sufficiently block cccDNA formation (MOA #2). Further, the current standard of care, NrtIs, impacts the viral replication cycle after establishment of cccDNA and can only inhibit production of new viral particles, and they do so incompletely. The chemical scaffold of 4334 is novel and distinct from all our prior CAM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believe that 4334 has a best-in-class nonclinical profile, with single-digit nanomolar potency against MOA #1 and MOA #2, pan-genotypic activity, an improved resistance profile and a favorable safety profile. Through mechanistic studies presented at multiple conferences, we have demonstrated that 4334 promotes the formation of empty capsids by acceleration of capsid assembly, prevents the formation of cccDNA by disrupting incoming capsids, and prematurely disrupts capsids containing duplex linear DNA, the precursor for integrated HBV DNA. </w:t>
      </w:r>
    </w:p>
    <w:p>
      <w:pPr>
        <w:pStyle w:val="TextBody"/>
        <w:bidi w:val="0"/>
        <w:spacing w:before="200" w:after="283"/>
        <w:jc w:val="both"/>
        <w:rPr>
          <w:rFonts w:ascii="Times New Roman" w:hAnsi="Times New Roman"/>
          <w:sz w:val="20"/>
        </w:rPr>
      </w:pPr>
      <w:r>
        <w:rPr>
          <w:rFonts w:ascii="Times New Roman" w:hAnsi="Times New Roman"/>
          <w:color w:val="000000"/>
          <w:sz w:val="20"/>
        </w:rPr>
        <w:t>A Phase 1a study demonstrated that 4334 was well-tolerated when administered orally as single or multiple doses. During the second quarter of 2024, we dosed our first participant in a Phase 1b clinical study of 4334. We reported interim clinical results from the initial 150 mg cohort in December 2024 and topline clinical results including a subsequent 400 mg cohort in June 2025. In both the 150 mg and 400 mg cohorts, 4334 continued to show a half-life supportive of once-daily oral dosing. In addition, results for both cohorts indicated that 4334 maintained clinical exposures multiple folds above those anticipated to be required for potent viral activity and inhibition of cccDNA formation. Mean declines in HBV DNA of 2.9 log</w:t>
      </w:r>
      <w:r>
        <w:rPr>
          <w:rFonts w:ascii="Times New Roman" w:hAnsi="Times New Roman"/>
          <w:color w:val="000000"/>
          <w:sz w:val="13"/>
        </w:rPr>
        <w:t>10</w:t>
      </w:r>
      <w:r>
        <w:rPr>
          <w:rFonts w:ascii="Times New Roman" w:hAnsi="Times New Roman"/>
          <w:color w:val="000000"/>
          <w:sz w:val="20"/>
        </w:rPr>
        <w:t xml:space="preserve"> IU/mL and 3.2 log</w:t>
      </w:r>
      <w:r>
        <w:rPr>
          <w:rFonts w:ascii="Times New Roman" w:hAnsi="Times New Roman"/>
          <w:color w:val="000000"/>
          <w:sz w:val="13"/>
        </w:rPr>
        <w:t>10</w:t>
      </w:r>
      <w:r>
        <w:rPr>
          <w:rFonts w:ascii="Times New Roman" w:hAnsi="Times New Roman"/>
          <w:color w:val="000000"/>
          <w:sz w:val="20"/>
        </w:rPr>
        <w:t xml:space="preserve"> IU/mL were observed over 28 days in a population of predominately HBeAg negative participants receiving 150 mg and 400 mg, respectively. Among the subset of participants with detectable HBV RNA at baseline, mean declines of 2.5 log</w:t>
      </w:r>
      <w:r>
        <w:rPr>
          <w:rFonts w:ascii="Times New Roman" w:hAnsi="Times New Roman"/>
          <w:color w:val="000000"/>
          <w:sz w:val="13"/>
        </w:rPr>
        <w:t xml:space="preserve">10 </w:t>
      </w:r>
      <w:r>
        <w:rPr>
          <w:rFonts w:ascii="Times New Roman" w:hAnsi="Times New Roman"/>
          <w:color w:val="000000"/>
          <w:sz w:val="20"/>
        </w:rPr>
        <w:t>U/mL and 2.3 log</w:t>
      </w:r>
      <w:r>
        <w:rPr>
          <w:rFonts w:ascii="Times New Roman" w:hAnsi="Times New Roman"/>
          <w:color w:val="000000"/>
          <w:sz w:val="13"/>
        </w:rPr>
        <w:t>10</w:t>
      </w:r>
      <w:r>
        <w:rPr>
          <w:rFonts w:ascii="Times New Roman" w:hAnsi="Times New Roman"/>
          <w:color w:val="000000"/>
          <w:sz w:val="20"/>
        </w:rPr>
        <w:t xml:space="preserve"> U/mL were observed over 28 days in the participants receiving 150 mg and 400 mg, respectively. As anticipated, limited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changes in viral antigens were observed for the study population over the 28-day treatment period. These antiviral data are consistent with the high potency seen preclinically for 4334. The safety data also demonstrated that 4334 was well-tolerated with a favorable safety profile observed. The 400 mg cohort was the final cohort for this Phase 1b study and final data will be presented at the American Association for the Study of Liver Disease, The Liver Meeting® in November 2025. The completion of the Phase 1b study of 4334 constitutes an option triggering point under the terms of the Gilead Collaboration Agreement, as defined below under "Collaboration and License Agreement — Gilead Sciences, Inc."</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Transplant-Associated Herpesviruses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 transplant setting, when patients are experiencing immunosuppression, they are at high risk of uncontrolled viral replication and severe disease brought on by one or more herpesviruses, including cytomegalovirus (CMV), HSV-1, HSV-2, varicella zoster virus (VZV) and Epstein-Barr virus (EBV). Each of these herpesviruses are highly prevalent, as approximately (1) 60% of transplant patients are CMV-positive; (2) 60% of transplant patients are HSV-positive; (3) 80% of transplant patients are VZV-positive and (4) 45% of transplant patients are EBV-positive. These viruses establish lifelong latent infections and frequently reactivate in transplant patients due to the use of immunosuppressive drugs following transplantation. These uncontrolled viral infections increase the risk of severe disease and serious complications, including organ rejection, graft loss and death, and impacted approximately 95,000 people receiving transplants in 2021 in the United States and Europe.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While there are approved antivirals that are administered in a transplant setting, currently approved antivirals are only partially efficacious, not active against a broad spectrum of transplant-associated herpesviruses and pose the risk of potentially serious side effects and drug-drug interactions. As a result of these limitations, we identified an opportunity to develop an oral, broad-spectrum NNPI for transplant-associated herpesvirus infections, which could greatly improve efficacy and treatment.</w:t>
      </w:r>
    </w:p>
    <w:p>
      <w:pPr>
        <w:pStyle w:val="TextBody"/>
        <w:bidi w:val="0"/>
        <w:spacing w:before="200" w:after="283"/>
        <w:jc w:val="both"/>
        <w:rPr>
          <w:rFonts w:ascii="Times New Roman" w:hAnsi="Times New Roman"/>
          <w:sz w:val="20"/>
        </w:rPr>
      </w:pPr>
      <w:r>
        <w:rPr>
          <w:rFonts w:ascii="Times New Roman" w:hAnsi="Times New Roman"/>
          <w:color w:val="000000"/>
          <w:sz w:val="20"/>
        </w:rPr>
        <w:t>In December 2024, we nominated 7423, a prodrug, as our development candidate to undergo regulatory filing-enabling studies, which are ongoing</w:t>
      </w:r>
      <w:r>
        <w:rPr>
          <w:rFonts w:ascii="Times New Roman" w:hAnsi="Times New Roman"/>
          <w:color w:val="000000"/>
          <w:sz w:val="24"/>
        </w:rPr>
        <w:t xml:space="preserve">. </w:t>
      </w:r>
      <w:r>
        <w:rPr>
          <w:rFonts w:ascii="Times New Roman" w:hAnsi="Times New Roman"/>
          <w:color w:val="000000"/>
          <w:sz w:val="23"/>
        </w:rPr>
        <w:t>I</w:t>
      </w:r>
      <w:r>
        <w:rPr>
          <w:rFonts w:ascii="Times New Roman" w:hAnsi="Times New Roman"/>
          <w:color w:val="000000"/>
          <w:sz w:val="20"/>
        </w:rPr>
        <w:t>n October 2025, we transitioned our discovery and development from 7423 to nominate its parent molecule, 7272, which is currently in regulatory filing-enabling preclinical studies.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Research Programs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to our investigational therapy programs that have nominated development candidates and have advanced into clinical studies or regulatory filing-enabling studies, our research team continues to actively focus on proprietary research to discover and develop novel antivirals to treat serious viral diseases.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Collaboration and License Agreement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Gilead Sciences,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October 2023, we entered into an Option, License and Collaboration agreement (the Gilead Collaboration Agreement) with Gilead pursuant to which Gilead (1) exclusively licensed to us its HPI program and its NNPI program, while retaining opt-in rights to these programs and (2) has an option to take an exclusive license, on a program-by-program basis, to all of our other current and future pipeline programs. During the 12-year collaboration term (subject to payment of certain extension fees) and for a specified period thereafter, Gilead may exercise its opt-in rights, on a program-by-program basis, at one of two timepoints—completion of a certain Phase 1 study or completion of a certain Phase 2 study for the first product within the program—upon payment of an opt-in fee ranging from $45.0 million to $125.0 million per program depending on the type of program and when the option is exercised. Pursuant to the Gilead Collaboration Agreement, Gilead made an $84.8 million upfront cash payment to us. In December 2024, we and Gilead entered into the First Amendment to the Gilead Collaboration Agreement, which restructured the timing of specific options exercisable and the fees payable to us under the terms of the Gilead Collaboration Agreement due to an agreed upon development plan for 6250. To facilitate this development plan, (1) we received a payment of $10.0 million from Gilead and (2) the opt-in fee payable by Gilead in connection with 6250 was restructured, though it remains in the range of opt-in fees detailed above. The $10.0 million payment received in connection with the First Amendment to the Gilead Collaboration Agreement is creditable towards future collaboration-related payments payable by Gilead.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If Gilead exercises its opt-in right to any current or future program under the collaboration, we are eligible to receive up to $330.0 million in potential regulatory and commercial milestones on that program, in addition to royalties ranging from the high single-digits to high teens, depending on the clinical stage of the program at the time of the opt-in. Following Gilead’s exercise of its option for each program, we may opt in to cover 40% of the research and development costs in the United States and share 40% of the profits and operating loss in the United States for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within the program in lieu of receiving milestones and royalties for that program in the United States, unless we later opt out of the cost/profit share for the program. Prior to Gilead’s potential exercise of its opt-in, we are primarily responsible for all discovery, research and development on both our programs and the two Gilead-contributed programs. Following Gilead’s opt-in, Gilead will control the further discovery, research, development, and commercialization on any optioned programs. During the term, Gilead will continue to support the collaboration through extension fees of $75.0 million in each of the third, fifth and seventh anniversaries of the collaboration.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Gilead Collaboration Agreement is subject to termination by either party for the other party’s uncured, material breach or insolvency. Subject to certain limitations, we and Gilead both have certain termination for convenience rights, upon sufficient prior written notice, with respect to programs that one party in-licenses from the other (subject to Gilead’s option rights), and with respect to Gilead, for programs it has option rights to (subject to certain time limitations with respect to existing Company programs). Gilead also has a right to terminate the collaborative activities under the Gilead Collaboration Agreement at certain specified points during the collaboration term. Other customary termination rights are further provided in the Gilead Collaboration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and Gilead also entered into a Common Stock Purchase Agreement and an Investor Rights Agreement (together, the Gilead Equity Agreements), which were both amended in June 2024 in connection with a financing transaction, in which a new investor purchased shares of common stock and was issued a warrant (the 2024 Financing Transaction). Pursuant to the Gilead Equity Agreements, Gilead made an upfront equity investment of $15.2 million by purchasing from us 1,089,472 shares of our common stock at a purchase price of $13.92 per share. The terms of the Gilead Equity Agreements provided Gilead the right to elect to purchase additional shares of common stock from us at a premium in an amount that results in Gilead owning 29.9% of our then-outstanding voting common stock. This right was exercised in December 2024, at a purchase price of $21.37 per share, which represents a 35% premium to the 30-trading day volume weighted average price immediately prior to the date of purchase. The Gilead Equity Agreements also include a three-year standstill provision and a two-year lockup provision, each with customary exceptions, and provide Gilead with certain other stock purchase rights and registration rights, as well as the right to designate two directors (or, alternatively, board observers at Gilead’s election) to our board of directors. In December 2023, Gilead designated Tomas Cihlar, Ph.D. to serve on our board of directors, and in March 2024, Gilead designated Robert D. Cook II to serve on our board of directors.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Gilead participated in the 2024 Financing Transaction on the same terms as the new investor pursuant to the anti-dilution provision in the Investor Rights Agreement. We and Gilead entered into a Securities Purchase Agreement for the issuance and sale, in a private placement, of 179,500 shares of our common stock and a warrant to purchase up to 179,500 shares of our common stock. The warrant sold to Gilead has an exercise price equal to $17.00 per share, became immediately exercisable on the date of issuance and will expire on June 18, 2029. Subject to certain exceptions, neither Gilead nor its affiliates may exercise any portion of the warrant to the extent that Gilead would own more than 19.9% of the number of our shares of common stock outstanding immediately after giving effect to such exercise.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Gilead also participated in a financing transaction in August 2025 on the same as the new investors. We and Gilead entered into a Securities Purchase Agreement for the issuance and sale, in a private placement, of 2,295,920 shares of our common stock at a combined purchase price of $19.60 per shares and accompanying one-half of one Class A Warrant and one-half of one Class B Warrant (collectively, the August 2025 Private Placement). The common stock, the Class A Warrant and the Class B Warrant were sold to Gilead pursuant to the terms of the Investor Rights Agreement. The Class A Warrant and the Class B Warrant each provide for the right to purchase up to 1,147,960 shares of our common stock. The Class A Warrant has an exercise price of $21.60 per share, became immediately exercisable on the date of issuance and will expire on or prior to the earlier of (a) August 11, 2030 (five years from the date of issuance) and (b) the date that is 30 days after the public announcement that we have completed enrollment of at least 200 patients total for our Phase 2 clinical study evaluating 5366 versus valacyclovir. The Class B Warrant has an exercise price of $21.60 per share and is exercisable between November 15, 2026 and December 31, 2026. Notwithstanding the foregoing, if, prior to November 15, 2026, we publicly announce that we have received at least $75.0 million in the aggregate of non-dilutive capital in connection with a collaboration agreement, then the Class B Warrant automatically terminates in full.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October 2025, as required under the registration rights terms of the Investor Rights Agreement, we filed a Registration Statement on Form S-3 with the Securities and Exchange Commission (SEC) to register all of the shares of our common stock that have been issued and sold to Gilead, as well as all of the shares of common stock that can be acquired by exercising the warrants that have been issued and sold to Gilead. The SEC is neither reviewing nor accelerating the effectiveness of registration statements during the ongoing shutdown of the U.S. government.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Comparison of the Three Months Ended September 30, 2025 and 2024</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Collaboration Revenue</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 summarizes the period-over-period changes in our collaboration revenue (in thousands, except for percentages):</w:t>
      </w:r>
    </w:p>
    <w:tbl>
      <w:tblPr>
        <w:tblW w:w="9520" w:type="dxa"/>
        <w:jc w:val="left"/>
        <w:tblInd w:w="0" w:type="dxa"/>
        <w:tblLayout w:type="fixed"/>
        <w:tblCellMar>
          <w:top w:w="28" w:type="dxa"/>
          <w:left w:w="28" w:type="dxa"/>
          <w:bottom w:w="28" w:type="dxa"/>
          <w:right w:w="28" w:type="dxa"/>
        </w:tblCellMar>
      </w:tblPr>
      <w:tblGrid>
        <w:gridCol w:w="3571"/>
        <w:gridCol w:w="146"/>
        <w:gridCol w:w="289"/>
        <w:gridCol w:w="925"/>
        <w:gridCol w:w="199"/>
        <w:gridCol w:w="199"/>
        <w:gridCol w:w="289"/>
        <w:gridCol w:w="782"/>
        <w:gridCol w:w="146"/>
        <w:gridCol w:w="146"/>
        <w:gridCol w:w="298"/>
        <w:gridCol w:w="812"/>
        <w:gridCol w:w="146"/>
        <w:gridCol w:w="146"/>
        <w:gridCol w:w="350"/>
        <w:gridCol w:w="760"/>
        <w:gridCol w:w="31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 from a related party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10,789</w:t>
            </w:r>
          </w:p>
        </w:tc>
        <w:tc>
          <w:tcPr>
            <w:tcW w:w="19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120"/>
        <w:jc w:val="both"/>
        <w:rPr>
          <w:rFonts w:ascii="Times New Roman" w:hAnsi="Times New Roman"/>
          <w:color w:val="000000"/>
          <w:sz w:val="20"/>
        </w:rPr>
      </w:pPr>
      <w:r>
        <w:rPr>
          <w:rFonts w:ascii="Times New Roman" w:hAnsi="Times New Roman"/>
          <w:color w:val="000000"/>
          <w:sz w:val="20"/>
        </w:rPr>
        <w:t>Collaboration revenue was $10.8 million for the three months ended September 30, 2025 compared to $6.8 million for the same period in 2024. The $3.9 million increase was primarily due to more costs incurred under the Gilead Collaboration Agreement during the three months ended September 30, 2025.</w:t>
      </w:r>
    </w:p>
    <w:p>
      <w:pPr>
        <w:pStyle w:val="TextBody"/>
        <w:bidi w:val="0"/>
        <w:spacing w:before="80" w:after="120"/>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jc w:val="both"/>
        <w:rPr>
          <w:rFonts w:ascii="Times New Roman" w:hAnsi="Times New Roman"/>
          <w:color w:val="000000"/>
          <w:sz w:val="20"/>
        </w:rPr>
      </w:pPr>
      <w:r>
        <w:rPr>
          <w:rFonts w:ascii="Times New Roman" w:hAnsi="Times New Roman"/>
          <w:color w:val="000000"/>
          <w:sz w:val="20"/>
        </w:rPr>
        <w:t>Research and development expenses consist primarily of employee-related expenses, fees paid to contract research organizations and contract manufacturing organizations, lab supplies and other third-party expenses that support our research and discovery, nonclinical and clinical activities. External costs represent a significant portion of our research and development expenses, which we track on a program-by-program basis following the nomination of a development candidate. We use our employee and infrastructure resources, as well as certain third-party costs, across multiple research and development programs, and we do not specifically allocate these costs to our programs.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 xml:space="preserve">The following table summarizes the period-over-period changes in our research and development expenses (in thousands, except for percentages): </w:t>
      </w:r>
    </w:p>
    <w:tbl>
      <w:tblPr>
        <w:tblW w:w="10054" w:type="dxa"/>
        <w:jc w:val="left"/>
        <w:tblInd w:w="0" w:type="dxa"/>
        <w:tblLayout w:type="fixed"/>
        <w:tblCellMar>
          <w:top w:w="28" w:type="dxa"/>
          <w:left w:w="28" w:type="dxa"/>
          <w:bottom w:w="28" w:type="dxa"/>
          <w:right w:w="28" w:type="dxa"/>
        </w:tblCellMar>
      </w:tblPr>
      <w:tblGrid>
        <w:gridCol w:w="3556"/>
        <w:gridCol w:w="271"/>
        <w:gridCol w:w="274"/>
        <w:gridCol w:w="878"/>
        <w:gridCol w:w="189"/>
        <w:gridCol w:w="189"/>
        <w:gridCol w:w="274"/>
        <w:gridCol w:w="878"/>
        <w:gridCol w:w="166"/>
        <w:gridCol w:w="271"/>
        <w:gridCol w:w="298"/>
        <w:gridCol w:w="812"/>
        <w:gridCol w:w="166"/>
        <w:gridCol w:w="146"/>
        <w:gridCol w:w="257"/>
        <w:gridCol w:w="853"/>
        <w:gridCol w:w="576"/>
      </w:tblGrid>
      <w:tr>
        <w:trPr/>
        <w:tc>
          <w:tcPr>
            <w:tcW w:w="35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program expenses:</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110"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5366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1179</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w:t>
            </w:r>
          </w:p>
        </w:tc>
        <w:tc>
          <w:tcPr>
            <w:tcW w:w="18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57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6250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4334</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8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57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7272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discovery</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w:t>
            </w:r>
          </w:p>
        </w:tc>
        <w:tc>
          <w:tcPr>
            <w:tcW w:w="18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7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Vebicorvir (VBR)</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external program expenses</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8,783</w:t>
            </w:r>
          </w:p>
        </w:tc>
        <w:tc>
          <w:tcPr>
            <w:tcW w:w="18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7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and contractor-related expenses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and other expenses</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18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16,587</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 October 2025, we transitioned our discovery and development from ABI-7423 to its parent molecule, ABI-7272, which is currently in regulatory filing-enabling preclinical studies.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Reflects net amounts refundable to us after the final reconciliation of clinical trial costs received in October 2024 under the Clinical Trial Collaboration Agreement with Arbutus Biopharma Corporation (the Arbutus Biopharma Agreement), which was terminated in February 2023.</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 xml:space="preserve">Research and development expenses were $16.6 million for the three months ended September 30, 2025 compared to $13.5 million for the same period in 2024. The $3.1 million increase was primarily driven by higher external program expenses as we advance our pipeline. Most notably, our 1179 and 5366 programs incurred additional costs due to significant patient enrollment in their respective Phase 1b studies. Employee and contractor-related expenses also increased due to the recognition of stock-based compensation expense on previously granted performance-based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restricted stock units now deemed probable of vesting. These increases were partially offset by lower expenses for our 4334 program following the completion of its Phase 1b study.</w:t>
      </w:r>
    </w:p>
    <w:p>
      <w:pPr>
        <w:pStyle w:val="TextBody"/>
        <w:bidi w:val="0"/>
        <w:spacing w:before="8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 and administrative expenses consist primarily of salaries and other related costs for personnel in executive, finance, accounting, business development, information technology, legal and human resources functions. Other significant costs include facility costs not otherwise included in research and development expenses, insurance costs, legal fees relating to patents and corporate matters and fees for accounting and consulting services.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 summarizes the period-over-period changes in our general and administrative expenses (in thousands, except for percentages):</w:t>
      </w:r>
    </w:p>
    <w:tbl>
      <w:tblPr>
        <w:tblW w:w="9041" w:type="dxa"/>
        <w:jc w:val="left"/>
        <w:tblInd w:w="0" w:type="dxa"/>
        <w:tblLayout w:type="fixed"/>
        <w:tblCellMar>
          <w:top w:w="28" w:type="dxa"/>
          <w:left w:w="28" w:type="dxa"/>
          <w:bottom w:w="28" w:type="dxa"/>
          <w:right w:w="28" w:type="dxa"/>
        </w:tblCellMar>
      </w:tblPr>
      <w:tblGrid>
        <w:gridCol w:w="3091"/>
        <w:gridCol w:w="146"/>
        <w:gridCol w:w="305"/>
        <w:gridCol w:w="826"/>
        <w:gridCol w:w="211"/>
        <w:gridCol w:w="211"/>
        <w:gridCol w:w="305"/>
        <w:gridCol w:w="826"/>
        <w:gridCol w:w="146"/>
        <w:gridCol w:w="146"/>
        <w:gridCol w:w="369"/>
        <w:gridCol w:w="741"/>
        <w:gridCol w:w="146"/>
        <w:gridCol w:w="146"/>
        <w:gridCol w:w="350"/>
        <w:gridCol w:w="760"/>
        <w:gridCol w:w="316"/>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5,085</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120"/>
        <w:jc w:val="both"/>
        <w:rPr>
          <w:rFonts w:ascii="Times New Roman" w:hAnsi="Times New Roman"/>
          <w:color w:val="000000"/>
          <w:sz w:val="20"/>
        </w:rPr>
      </w:pPr>
      <w:r>
        <w:rPr>
          <w:rFonts w:ascii="Times New Roman" w:hAnsi="Times New Roman"/>
          <w:color w:val="000000"/>
          <w:sz w:val="20"/>
        </w:rPr>
        <w:t>General and administrative expenses were $5.1 million for the three months ended September 30, 2025 compared to $4.3 million for the same period in 2024. The $0.8 million increase was primarily driven by higher professional fees related to patent filings, commercial planning and market research, as well as an increase in stock-based compensation expense from the recognition of expense on previously granted performance-based restricted stock units now deemed probable of vesting.</w:t>
      </w:r>
    </w:p>
    <w:p>
      <w:pPr>
        <w:pStyle w:val="TextBody"/>
        <w:bidi w:val="0"/>
        <w:spacing w:before="80" w:after="120"/>
        <w:jc w:val="both"/>
        <w:rPr>
          <w:rFonts w:ascii="Times New Roman" w:hAnsi="Times New Roman"/>
          <w:sz w:val="20"/>
        </w:rPr>
      </w:pPr>
      <w:r>
        <w:rPr>
          <w:rFonts w:ascii="Times New Roman" w:hAnsi="Times New Roman"/>
          <w:i/>
          <w:color w:val="000000"/>
          <w:sz w:val="20"/>
        </w:rPr>
        <w:t>Interest and Other Income, Net</w:t>
      </w:r>
      <w:r>
        <w:rPr>
          <w:rFonts w:ascii="Times New Roman" w:hAnsi="Times New Roman"/>
          <w:color w:val="000000"/>
          <w:sz w:val="20"/>
        </w:rPr>
        <w:t xml:space="preserve"> </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Interest income consists of interest earned on our cash and cash equivalents and available-for-sale marketable securities. The following table summarizes the period-over-period changes in our interest and other income, net (in thousands, except for percentages):</w:t>
      </w:r>
    </w:p>
    <w:tbl>
      <w:tblPr>
        <w:tblW w:w="8471" w:type="dxa"/>
        <w:jc w:val="left"/>
        <w:tblInd w:w="0" w:type="dxa"/>
        <w:tblLayout w:type="fixed"/>
        <w:tblCellMar>
          <w:top w:w="28" w:type="dxa"/>
          <w:left w:w="28" w:type="dxa"/>
          <w:bottom w:w="28" w:type="dxa"/>
          <w:right w:w="28" w:type="dxa"/>
        </w:tblCellMar>
      </w:tblPr>
      <w:tblGrid>
        <w:gridCol w:w="2521"/>
        <w:gridCol w:w="146"/>
        <w:gridCol w:w="305"/>
        <w:gridCol w:w="826"/>
        <w:gridCol w:w="211"/>
        <w:gridCol w:w="211"/>
        <w:gridCol w:w="305"/>
        <w:gridCol w:w="826"/>
        <w:gridCol w:w="146"/>
        <w:gridCol w:w="146"/>
        <w:gridCol w:w="369"/>
        <w:gridCol w:w="741"/>
        <w:gridCol w:w="146"/>
        <w:gridCol w:w="146"/>
        <w:gridCol w:w="350"/>
        <w:gridCol w:w="760"/>
        <w:gridCol w:w="31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Interest and other income, net was $1.7 million for the three months ended September 30, 2025, compared to $1.3 million for the same period in 2024. The $0.3 million increase was primarily due to more interest earned on marketable securities from having a larger portfolio balance after our financing in August 2025.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Comparison of the Nine Months Ended September 30, 2025 and 2024</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Collaboration Revenue</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 summarizes the period-over-period changes in our collaboration revenue (in thousands, except for percentages):</w:t>
      </w:r>
    </w:p>
    <w:tbl>
      <w:tblPr>
        <w:tblW w:w="9431" w:type="dxa"/>
        <w:jc w:val="left"/>
        <w:tblInd w:w="0" w:type="dxa"/>
        <w:tblLayout w:type="fixed"/>
        <w:tblCellMar>
          <w:top w:w="28" w:type="dxa"/>
          <w:left w:w="28" w:type="dxa"/>
          <w:bottom w:w="28" w:type="dxa"/>
          <w:right w:w="28" w:type="dxa"/>
        </w:tblCellMar>
      </w:tblPr>
      <w:tblGrid>
        <w:gridCol w:w="3571"/>
        <w:gridCol w:w="146"/>
        <w:gridCol w:w="265"/>
        <w:gridCol w:w="849"/>
        <w:gridCol w:w="183"/>
        <w:gridCol w:w="183"/>
        <w:gridCol w:w="265"/>
        <w:gridCol w:w="849"/>
        <w:gridCol w:w="146"/>
        <w:gridCol w:w="146"/>
        <w:gridCol w:w="298"/>
        <w:gridCol w:w="812"/>
        <w:gridCol w:w="146"/>
        <w:gridCol w:w="146"/>
        <w:gridCol w:w="350"/>
        <w:gridCol w:w="760"/>
        <w:gridCol w:w="31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 from a related party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29,834</w:t>
            </w:r>
          </w:p>
        </w:tc>
        <w:tc>
          <w:tcPr>
            <w:tcW w:w="18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120"/>
        <w:jc w:val="both"/>
        <w:rPr>
          <w:rFonts w:ascii="Times New Roman" w:hAnsi="Times New Roman"/>
          <w:color w:val="000000"/>
          <w:sz w:val="20"/>
        </w:rPr>
      </w:pPr>
      <w:r>
        <w:rPr>
          <w:rFonts w:ascii="Times New Roman" w:hAnsi="Times New Roman"/>
          <w:color w:val="000000"/>
          <w:sz w:val="20"/>
        </w:rPr>
        <w:t>Collaboration revenue was $29.8 million for the nine months ended September 30, 2025 compared to $21.2 million for the same period in 2024. The $8.7 million increase was due to more costs incurred under the Gilead Collaboration Agreement during the nine months ended September 30, 2025, as well as an increase in the transaction price from additional funds received under the First Amendment to the Gilead Collaboration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20"/>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 xml:space="preserve">The following table summarizes the period-over-period changes in our research and development expenses (in thousands, except for percentages): </w:t>
      </w:r>
    </w:p>
    <w:tbl>
      <w:tblPr>
        <w:tblW w:w="9966" w:type="dxa"/>
        <w:jc w:val="left"/>
        <w:tblInd w:w="0" w:type="dxa"/>
        <w:tblLayout w:type="fixed"/>
        <w:tblCellMar>
          <w:top w:w="28" w:type="dxa"/>
          <w:left w:w="28" w:type="dxa"/>
          <w:bottom w:w="28" w:type="dxa"/>
          <w:right w:w="28" w:type="dxa"/>
        </w:tblCellMar>
      </w:tblPr>
      <w:tblGrid>
        <w:gridCol w:w="3556"/>
        <w:gridCol w:w="271"/>
        <w:gridCol w:w="265"/>
        <w:gridCol w:w="849"/>
        <w:gridCol w:w="183"/>
        <w:gridCol w:w="183"/>
        <w:gridCol w:w="265"/>
        <w:gridCol w:w="849"/>
        <w:gridCol w:w="166"/>
        <w:gridCol w:w="271"/>
        <w:gridCol w:w="278"/>
        <w:gridCol w:w="832"/>
        <w:gridCol w:w="166"/>
        <w:gridCol w:w="146"/>
        <w:gridCol w:w="257"/>
        <w:gridCol w:w="853"/>
        <w:gridCol w:w="576"/>
      </w:tblGrid>
      <w:tr>
        <w:trPr/>
        <w:tc>
          <w:tcPr>
            <w:tcW w:w="35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program expenses:</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110"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5366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1179</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5,047</w:t>
            </w:r>
          </w:p>
        </w:tc>
        <w:tc>
          <w:tcPr>
            <w:tcW w:w="18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57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6250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4334</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18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57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7272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discovery</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5,839</w:t>
            </w:r>
          </w:p>
        </w:tc>
        <w:tc>
          <w:tcPr>
            <w:tcW w:w="18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7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VBR</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external program expenses</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25,584</w:t>
            </w:r>
          </w:p>
        </w:tc>
        <w:tc>
          <w:tcPr>
            <w:tcW w:w="18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7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and contractor-related expenses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and other expenses</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w:t>
            </w:r>
          </w:p>
        </w:tc>
        <w:tc>
          <w:tcPr>
            <w:tcW w:w="18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47,563</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 October 2025, we transitioned our discovery and development from ABI-7423 to its parent molecule, ABI-7272, which is currently in regulatory filing-enabling preclinical studies.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Reflects net amounts refundable to us after the final reconciliation of clinical trial costs received in October 2024 under the Arbutus Biopharma Agreement, which was terminated in February 2023.</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Research and development expenses were $47.6 million for the nine months ended September 30, 2025 compared to $41.7 million for the same period in 2024. The $5.9 million increase was primarily driven by higher external program expenses as we advance our pipeline. Most notably, our HSV programs incurred additional costs as both the 5366 and 1179 Phase 1a/b studies were underway during the nine months ended September 30, 2025, compared to only the 5366 Phase 1a study in the same period in 2024. Employee and contractor-related expenses also increased, primarily due to the recognition of stock-based compensation expense on previously granted performance-based restricted stock units now deemed probable of vesting.</w:t>
      </w:r>
    </w:p>
    <w:p>
      <w:pPr>
        <w:pStyle w:val="TextBody"/>
        <w:bidi w:val="0"/>
        <w:spacing w:before="8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 summarizes the period-over-period changes in our general and administrative expenses (in thousands, except for percentages):</w:t>
      </w:r>
    </w:p>
    <w:tbl>
      <w:tblPr>
        <w:tblW w:w="8951" w:type="dxa"/>
        <w:jc w:val="left"/>
        <w:tblInd w:w="0" w:type="dxa"/>
        <w:tblLayout w:type="fixed"/>
        <w:tblCellMar>
          <w:top w:w="28" w:type="dxa"/>
          <w:left w:w="28" w:type="dxa"/>
          <w:bottom w:w="28" w:type="dxa"/>
          <w:right w:w="28" w:type="dxa"/>
        </w:tblCellMar>
      </w:tblPr>
      <w:tblGrid>
        <w:gridCol w:w="3091"/>
        <w:gridCol w:w="146"/>
        <w:gridCol w:w="265"/>
        <w:gridCol w:w="849"/>
        <w:gridCol w:w="183"/>
        <w:gridCol w:w="183"/>
        <w:gridCol w:w="265"/>
        <w:gridCol w:w="849"/>
        <w:gridCol w:w="146"/>
        <w:gridCol w:w="146"/>
        <w:gridCol w:w="369"/>
        <w:gridCol w:w="741"/>
        <w:gridCol w:w="146"/>
        <w:gridCol w:w="146"/>
        <w:gridCol w:w="454"/>
        <w:gridCol w:w="656"/>
        <w:gridCol w:w="316"/>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14,188</w:t>
            </w:r>
          </w:p>
        </w:tc>
        <w:tc>
          <w:tcPr>
            <w:tcW w:w="18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120"/>
        <w:jc w:val="both"/>
        <w:rPr>
          <w:rFonts w:ascii="Times New Roman" w:hAnsi="Times New Roman"/>
          <w:color w:val="000000"/>
          <w:sz w:val="20"/>
        </w:rPr>
      </w:pPr>
      <w:r>
        <w:rPr>
          <w:rFonts w:ascii="Times New Roman" w:hAnsi="Times New Roman"/>
          <w:color w:val="000000"/>
          <w:sz w:val="20"/>
        </w:rPr>
        <w:t>General and administrative expenses were $14.2 million for the nine months ended September 30, 2025 compared to $13.4 million for the same period in 2024. The $0.8 million increase was primarily driven by higher professional fees related to patent filings as well as an increase in stock-based compensation expense from the recognition of expense on previously granted performance-based restricted stock units now deemed probable of vesting.</w:t>
      </w:r>
    </w:p>
    <w:p>
      <w:pPr>
        <w:pStyle w:val="TextBody"/>
        <w:bidi w:val="0"/>
        <w:spacing w:before="80" w:after="120"/>
        <w:jc w:val="both"/>
        <w:rPr>
          <w:rFonts w:ascii="Times New Roman" w:hAnsi="Times New Roman"/>
          <w:sz w:val="20"/>
        </w:rPr>
      </w:pPr>
      <w:r>
        <w:rPr>
          <w:rFonts w:ascii="Times New Roman" w:hAnsi="Times New Roman"/>
          <w:i/>
          <w:color w:val="000000"/>
          <w:sz w:val="20"/>
        </w:rPr>
        <w:t>Interest and Other Income, Net</w:t>
      </w:r>
      <w:r>
        <w:rPr>
          <w:rFonts w:ascii="Times New Roman" w:hAnsi="Times New Roman"/>
          <w:color w:val="000000"/>
          <w:sz w:val="20"/>
        </w:rPr>
        <w:t xml:space="preserve"> </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The following table summarizes the period-over-period changes in our interest and other income, net (in thousands, except for percentages):</w:t>
      </w:r>
    </w:p>
    <w:tbl>
      <w:tblPr>
        <w:tblW w:w="8401" w:type="dxa"/>
        <w:jc w:val="left"/>
        <w:tblInd w:w="0" w:type="dxa"/>
        <w:tblLayout w:type="fixed"/>
        <w:tblCellMar>
          <w:top w:w="28" w:type="dxa"/>
          <w:left w:w="28" w:type="dxa"/>
          <w:bottom w:w="28" w:type="dxa"/>
          <w:right w:w="28" w:type="dxa"/>
        </w:tblCellMar>
      </w:tblPr>
      <w:tblGrid>
        <w:gridCol w:w="2521"/>
        <w:gridCol w:w="146"/>
        <w:gridCol w:w="295"/>
        <w:gridCol w:w="798"/>
        <w:gridCol w:w="204"/>
        <w:gridCol w:w="204"/>
        <w:gridCol w:w="295"/>
        <w:gridCol w:w="798"/>
        <w:gridCol w:w="146"/>
        <w:gridCol w:w="146"/>
        <w:gridCol w:w="337"/>
        <w:gridCol w:w="773"/>
        <w:gridCol w:w="166"/>
        <w:gridCol w:w="146"/>
        <w:gridCol w:w="309"/>
        <w:gridCol w:w="801"/>
        <w:gridCol w:w="31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3,705</w:t>
            </w:r>
          </w:p>
        </w:tc>
        <w:tc>
          <w:tcPr>
            <w:tcW w:w="20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and other income, net was $3.7 million for the nine months ended September 30, 2025, compared to $4.5 million for the same period in 2024. The $0.7 million decrease was primarily due to a smaller portfolio balance for most of the period, as we used maturing investments to fund operations prior to our financing transaction in August 2025. Lower interest rates during the nine months ended September 30, 2025 compared to the same period in 2024 also contributed to the decrease.</w:t>
      </w:r>
    </w:p>
    <w:p>
      <w:pPr>
        <w:pStyle w:val="TextBody"/>
        <w:bidi w:val="0"/>
        <w:spacing w:before="200" w:after="12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80" w:after="283"/>
        <w:jc w:val="both"/>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a result of our significant research and development expenditures and the lack of any FDA-approved products to generate product sales revenue, we have not been profitable and have generated operating losses since we were incorporated in October 2005. We have funded our operations through September 30, 2025 principally through equity financings, raising an aggregate of $821.8 million in net proceeds, and strategic collaborations, raising an aggregate of $200.9 million.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August 2025, we sold to various investors an aggregate of 5,591,840 shares of common stock and pre-funded warrants to purchase up to 1,040,820 shares of common stock. The securities were issued together with accompanying Class A and Class B warrants to purchase up to an aggregated total of 6,632,660 shares of common stock. The combined price per share of common stock with the accompanying Class A and Class B warrants was $19.60, while the combined price per pre-funded warrant with accompanying Class A and Class B warrants was $19.599. In addition, the Company entered into the August 2025 Private Placement with Gilead for the issuance and sale, in a private placement, of 2,295,920 shares of common stock and accompanying Class A and Class B warrants to purchase up to an aggregate of 2,295,920 shares of common stock. The securities were sold together with accompanying warrants at a price of $19.60 per unit. Each pre-funded warrant sold has a nominal exercise price of $0.001 per share, while each Class A and Class B warrant has an exercise price of $21.60 per share. We received aggregate net proceeds of approximately $166.4 million from this financing transaction, after deducting underwriting discounts and commissions and offering expenses payable.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Cash Flows for the Nine Months Ended September 30, 2025 and 2024</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 summarizes our cash flow activities (in thousands):</w:t>
      </w:r>
    </w:p>
    <w:tbl>
      <w:tblPr>
        <w:tblW w:w="7652" w:type="dxa"/>
        <w:jc w:val="left"/>
        <w:tblInd w:w="0" w:type="dxa"/>
        <w:tblLayout w:type="fixed"/>
        <w:tblCellMar>
          <w:top w:w="28" w:type="dxa"/>
          <w:left w:w="28" w:type="dxa"/>
          <w:bottom w:w="28" w:type="dxa"/>
          <w:right w:w="28" w:type="dxa"/>
        </w:tblCellMar>
      </w:tblPr>
      <w:tblGrid>
        <w:gridCol w:w="4521"/>
        <w:gridCol w:w="146"/>
        <w:gridCol w:w="237"/>
        <w:gridCol w:w="944"/>
        <w:gridCol w:w="186"/>
        <w:gridCol w:w="164"/>
        <w:gridCol w:w="237"/>
        <w:gridCol w:w="826"/>
        <w:gridCol w:w="391"/>
      </w:tblGrid>
      <w:tr>
        <w:trPr/>
        <w:tc>
          <w:tcPr>
            <w:tcW w:w="4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(55,330</w:t>
            </w:r>
          </w:p>
        </w:tc>
        <w:tc>
          <w:tcPr>
            <w:tcW w:w="1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(50,710</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(134,691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46,867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174,211</w:t>
            </w:r>
          </w:p>
        </w:tc>
        <w:tc>
          <w:tcPr>
            <w:tcW w:w="1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12,454</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(15,810</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used in operating activities was $55.3 million for the nine months ended September 30, 2025, compared to $50.7 million for the same period in 2024. The increase in cash used in operations was primarily attributable to increases in operating expenses from the advancement of our clinical pipeline.</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Net cash used in investing activities was $134.7 million for the nine months ended September 30, 2025, compared to net cash provided by investing activities of $46.9 million for the same period in 2024. The change was primarily due to our purchases of marketable securities following our financing in August 2025, as we invested the proceeds from those offerings.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Net cash provided by financing activities was $174.2 million for the nine months ended September 30, 2025, compared to $12.5 million for the same period in 2024. The increase was due to larger proceeds from our financing in August 2025, and the subsequent exercise of warrants issued in that transaction, compared to our financing in June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generated significant losses to date, and we expect to continue to generate losses as we develop our product candidates. As of September 30, 2025, we had an accumulated deficit of $854.1 million. Because we do not generate revenue from any of our product candidates, our losses will continue as we further develop and seek regulatory approval for, and commercialize, our product candidates. We expect our future operating expenses to increase over the coming years as we continue to advance our candidates. As a result, our operating losses are likely to be substantial over the next several years if none of our product candidates are approved or successfully launched. We are unable to predict the extent of any future losses or when we will become profitable, if at all.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September 30, 2025, we held cash, cash equivalents and marketable securities of $232.6 million. Based on our current operating plan, we believe we have sufficient funds to meet our operating requirements into late 2027. This cash runway guidance does not include potential future payments to us under our collaboration with Gilead or from potential warrant exercises, which would further extend our cash runway beyond 2028. We have based our estimate on assumptions that may prove to be wrong, and we may utilize our available capital resources sooner than we currently expect.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future capital requirements will depend on many factors, including: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realize future potential benefits pursuant to the Gilead Collaboration and maintain the collaboration;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scope, progress, results and costs of our ongoing drug discovery, nonclinical development, laboratory testing and clinical studies of our product candidates and any additional clinical studies we may conduct in the future;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manufacture, and to contract with third parties to manufacture, adequate supplies of our product candidates for our clinical studies and any eventual commercialization;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costs, timing and outcome of regulatory review of our product candidates;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costs of preparing, filing and prosecuting patent applications in the United States and abroad, maintaining and enforcing our intellectual property rights and defending intellectual property-related claims.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critical accounting policies and significant estimates are detailed in our 2024 Annual Report. There have been no material changes to our significant estimates from those previously disclosed in our 2024 Annual Report.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00" w:after="283"/>
        <w:jc w:val="both"/>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maintain a system of disclosure controls and procedures, as defined in Rules 13a-15(e) and 15d-15(e) of the Exchange Act, that is designed to provide reasonable assurance that information that is required to be disclosed in our reports filed pursuant to the Exchange Act, is accumulated and communicated to management in a timely manner. At the end of the period covered by this report, we carried out an evaluation, under the supervision and with the participation of our management, including our principal executive officer and principal financial officer, of the effectiveness of the design and operation of our disclosure controls and procedures pursuant to Exchange Act Rules 13a-15(b) and 15d-15(b) as of the end of the period covered by this report. Based upon that evaluation, our principal executive officer and principal financial officer concluded that our disclosure controls and procedures as of the end of the period covered by this report were effective at the reasonable assurance level.</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in the quarter ended September 30, 2025 that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2" w:name="part_ii_or_information"/>
      <w:bookmarkEnd w:id="12"/>
      <w:r>
        <w:rPr>
          <w:rFonts w:ascii="Times New Roman" w:hAnsi="Times New Roman"/>
          <w:b/>
          <w:color w:val="000000"/>
          <w:sz w:val="20"/>
        </w:rPr>
        <w:t>PART II – OTHER INFORMATION</w:t>
      </w:r>
    </w:p>
    <w:p>
      <w:pPr>
        <w:pStyle w:val="TextBody"/>
        <w:bidi w:val="0"/>
        <w:spacing w:before="200" w:after="283"/>
        <w:jc w:val="both"/>
        <w:rPr>
          <w:rFonts w:ascii="Times New Roman" w:hAnsi="Times New Roman"/>
          <w:sz w:val="20"/>
        </w:rPr>
      </w:pPr>
      <w:bookmarkStart w:id="13" w:name="item_1_legal_proceedings"/>
      <w:bookmarkEnd w:id="13"/>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not a party to any material legal proceedings. In the future, we may from time to time become involved in litigation relating to claims arising from our ordinary course of business.</w:t>
      </w:r>
    </w:p>
    <w:p>
      <w:pPr>
        <w:pStyle w:val="TextBody"/>
        <w:bidi w:val="0"/>
        <w:spacing w:before="200" w:after="283"/>
        <w:jc w:val="both"/>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You should carefully consider the following risk factors, together with all other information in this report, including our condensed consolidated financial statements and notes thereto, and in our other filings with the SEC. If any of the following risks, or other risks not presently known to us or that we currently believe to not be material,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Risks Related to Our Business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have no approved products and depend on the future success of the product candidates in our research and development pipeline. We cannot be certain that we or our collaborators will be able to obtain regulatory approval for, or successfully commercialize, product candidates from our current pipeline or any other product candidates that we may subsequently identify, license or otherwise acquire.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and our collaborators are not permitted to market or promote any products in the United States, Europe, China or other countries before we receive regulatory approval from the FDA or comparable foreign regulatory authorities, and we may never receive such regulatory approval for our current product candidates. We have not submitted a new drug application (NDA) to the FDA or comparable applications to other regulatory authorities and do not expect to be in a position to do so in the near future.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All our product candidates are in clinical development or in varying stages of nonclinical development. Data supporting our clinical development programs are derived from nonclinical data that support our early stage clinical programs, which will determine whether pivotal studies are appropriate. These pivotal studies are necessary to support regulatory approval, and it may be years before these larger, pivotal studies are completed, if ever.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to our current product pipeline, we may identify, license or otherwise acquire rights to other technologies or product candidates. Any such transactions would involve numerous risks, and we may be unsuccessful in entering into any such transactions or developing any such technologies or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these reasons, our drug discovery and development may not be successful, and we may be unable to continue clinical development of our product candidates and may not generate product approvals or product revenue, any of which could have a material adverse impact on our business, results of operations and financial condition. </w:t>
      </w:r>
    </w:p>
    <w:p>
      <w:pPr>
        <w:pStyle w:val="TextBody"/>
        <w:bidi w:val="0"/>
        <w:spacing w:before="200" w:after="283"/>
        <w:jc w:val="both"/>
        <w:rPr>
          <w:rFonts w:ascii="Times New Roman" w:hAnsi="Times New Roman"/>
          <w:sz w:val="20"/>
        </w:rPr>
      </w:pPr>
      <w:r>
        <w:rPr>
          <w:rFonts w:ascii="Times New Roman" w:hAnsi="Times New Roman"/>
          <w:b/>
          <w:i/>
          <w:color w:val="000000"/>
          <w:sz w:val="20"/>
        </w:rPr>
        <w:t>We are not currently profitable and might never become profitable, and we will need additional financing to complete the development of any product candidates and fund our activities into the future.</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do not have any approved products, and we have a history of losses. We expect to continue to incur substantial operating and capital expenditures to advance our current product candidates through clinical development, continue research and discovery efforts to identify potential additional product candidates and seek regulatory approvals for our current and future product candidates. All operations and capital expenditures will be funded from cash on hand, securities offerings, debt financings and payments we may receive from out-licenses, collaborations or other strategic arrangements. Adverse geopolitical and macroeconomic developments, such as potential worsening global economic conditions or economic downturn, ongoing military conflicts, related sanctions, actual and anticipated changes in interest rates, economic inflation and the responses by central banking authorities to control such inflation, and tariffs or the imposition of modified or additional tariffs, trade wars, barriers or restrictions, or threats of such actions and the related uncertainty thereof, could affect our ability to access capital as and when needed.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There is no assurance that we will be successful in raising any necessary additional capital on terms that are acceptable to us, or at all. If we are unable to develop and commercialize any product candidates and generate sufficient revenue or raise capital, we could be forced to reduce staff, delay, scale back or discontinue product development and clinical studies, forego business opportunities, cease operations entirely and sell, or otherwise transfer, all or substantially all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of our remaining assets, which would likely have a material adverse impact on our business, results of operations, financial condition and share price.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expect our collaboration with Gilead to be a critical part of the development, manufacture and commercialization of our product candidates. If this collaboration is unsuccessful, our business could be adversely affected.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October 2023, we entered into the Gilead Collaboration Agreement with Gilead, whereby Gilead exclusively licensed to us its HPI program and NNPI program, while retaining opt-in rights to these programs, and has an option to take an exclusive license, on a program-by-program basis, to all of our other current and future pipeline programs during the collaboration term. In connection with the entry into the Gilead Collaboration Agreement, we and Gilead also entered into a common stock purchase agreement and an investor rights agreement, which were both amended in June 2024. Also in June 2024, we and Gilead subsequently entered into a securities purchase agreement and warrant agreement. In December 2024, Gilead purchased additional shares of our common stock at a premium pursuant to the terms of the common stock purchase agreement, and we amended the Gilead Collaboration Agreement in connection with an updated development plan for 6250. In August 2025, Gilead purchased additional shares of our common stock and warrants to purchase additional shares of our common stock. Our agreements and relationship with Gilead pose a number of risks, including, but not limited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Conflicts may arise between us and Gilead, such as conflicts regarding the indications to pursue or concerning the clinical data supporting an opt-in decision, the commercial potential of any optioned investigational products, the interpretation of financial provisions or the ownership of intellectual property developed during the collaboration. Any such conflicts could slow or prevent the development or commercialization of our investigational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the collaboration with Gilead does not result in the successful development and commercialization of products or if Gilead terminates the Gilead Collaboration Agreement with us, we may not receive any future research funding or milestone or royalty payments under the collaboration. If we do not receive the funding we expect under these agreements, development of our investigational products could be delayed and we may need additional resources to develop our investigational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be heavily dependent on Gilead for further development and commercialization of the investigational products from the programs that it opts into, and transition of these programs to Gilead, if Gilead opts in, could delay these programs' clinical and approval timelines.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successful in this collaboration due to various other factors, including our ability to demonstrate proof of concept in one or more clinical studies so that Gilead will exercise its option to these programs. In addition, even if we demonstrate clinical proof of concept of a candidate, Gilead may choose not to exercise its option.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Gilead has the right to designate (and has designated) two directors for appointment to our board of directors pursuant to the terms of the investor rights agreement and owns approximately 29% of our outstanding common stock. Gilead also has the right to acquire additional shares in the open market, up to an amount resulting in Gilead owning a total of 35% of our outstanding common stock. As a result, Gilead may be able to exert significant influence over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Gilead could independently develop, or develop with third parties, products that compete directly or indirectly with our investigational products if Gilead believes that competitive products are more likely to be successfully developed or can be commercialized under terms that are more economically attractive than ours.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Gilead has an option to all our current, and future, pipeline programs during the collaboration term, it may be difficult for us to enter into new collaborations.</w:t>
      </w:r>
    </w:p>
    <w:p>
      <w:pPr>
        <w:pStyle w:val="TextBody"/>
        <w:bidi w:val="0"/>
        <w:spacing w:before="200" w:after="283"/>
        <w:jc w:val="both"/>
        <w:rPr>
          <w:rFonts w:ascii="Times New Roman" w:hAnsi="Times New Roman"/>
          <w:sz w:val="20"/>
        </w:rPr>
      </w:pPr>
      <w:r>
        <w:rPr>
          <w:rFonts w:ascii="Times New Roman" w:hAnsi="Times New Roman"/>
          <w:b/>
          <w:i/>
          <w:color w:val="000000"/>
          <w:sz w:val="20"/>
        </w:rPr>
        <w:t>Nonclinical and clinical studies required for our product candidates are expensive and time-consuming and may fail to demonstrate the level of safety and efficacy necessary for product approval.</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Before we or any commercial partners can obtain FDA approval (or other foreign approvals) necessary to sell any of our product candidates, we must show that each potential product is safe and effective. To meet these requirements, we must conduct extensive nonclinical and sufficient, well-controlled clinical studies.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results of nonclinical studies may not be representative of disease behavior in a clinical setting and may not be predictive of the outcomes of our clinical studies. In addition, the results of early clinical studies of product candidates may not be predictive of the results of later-stage clinical studies.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Conducting nonclinical and clinical studies is a lengthy, time consuming and expensive process. The length of time varies substantially according to the type, complexity, novelty, and intended use of the product candidate, and often can be several years or more. In addition, failure or delays can occur at any time during the nonclinical and clinical study process, resulting in additional operating expenses or harm to our business.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commencement and rate of completion of clinical studies might be delayed by many factors, including, for example: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reaching agreement with regulatory authorities on study design;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reaching agreement on acceptable terms with prospective contract research organizations (CROs) and clinical study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demonstrate efficacy or the emergence of unforeseen safety issues;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insufficient quantities of qualified materials made using current good manufacturing practice (cGMP) for use in clinical studies due to manufacturing challenges, delays or interruptions in the supply chain;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slower than expected rates of participant recruitment or failure to recruit a sufficient number of eligible participants, which may be due to a number of reasons, including the size of the participant population, the proximity of participants to clinical sites, the eligibility criteria for the study, the design of the clinical study, and other potential drug candidates being studied;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fewer available study sites and academic lab facilities due to changes in government funding of clinical research;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participants completing participation in a study or return for post-treatment follow-up for any reason, including, product side effects or disease progression;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modification of clinical study protocols;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suspension, or termination of clinical studies by the institutional review board or ethics committee responsible for overseeing the study at a particular study site;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government or other regulatory agency delays or clinical holds requiring suspension or termination of our clinical studies due to safety, tolerability or other issues related to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failure of nonclinical and clinical studies to demonstrate safety and effectiveness of a product candidate for the desired indications, whether conducted by us or by a CRO, would harm the development of that product candidate and potentially other product candidates. This failure could cause us to abandon a product candidate and could delay development of other product candidates. Any delay in, or failure of, our nonclinical studies or clinical studies could delay, or preclude, the filing of our NDAs and comparable applications with the FDA and foreign regulatory agencies, as applicable, and materially harm our business, prospects, financial condition and results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rely on CROs to conduct some of our nonclinical and clinical studies due to our lack of suitable facilities and resources. In addition, parts of our business are reliant on CROs, vendors, suppliers and other service providers in locations outside of the United States, including China.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do not have sufficient facilities or resources to conduct all our anticipated nonclinical and clinical studies internally. As a result, we contract with CROs to conduct a significant portion of the nonclinical and clinical studies required for regulatory approval for our product candidates. Our reliance on CROs reduces our control over these activities but does not relieve us of our responsibilities. For example, we are responsible for ensuring that each of our studies is conducted in accordance with the applicable protocol, legal and regulatory requirements and scientific standards, including, in the case of clinical studies, good clinical practices, even if the study is conducted by a CRO. In the event CROs fail to perform their duties in such a fashion or we are unable to retain or continue with CROs on acceptable terms, we may be unable to complete our clinical studies and may fail to obtain regulatory approval for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these CROs may also have relationships with other entities, some of which may be our competitors. CRO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personnel are not our employees, and except for remedies available to us under our agreements with such third parties, we cannot control whether they devote sufficient time and resources to our clinical and nonclinical studies. If these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including good clinical practices, or for other reasons, our research, nonclinical or clinical studies may be extended, delayed or terminated and we may not be able to obtain, or may be delayed in obtaining, regulatory approvals for our product candidates, any of which could materially harm our business, prospects, financial condition and results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Furthermore, we are exposed to a number of risks related to our CROs, vendors, suppliers and other service providers that are located outside of the United States, many of which may be beyond our control. These risks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business interruptions resulting from geopolitical actions such as the war between Russia and Ukraine, the conflicts in the Middle East, tensions between China and Taiwan, as well as tariffs (including tariffs that have been or may be in the future imposed by the United States and other countries), other wars, acts of terrorism, natural disasters or outbreaks of disease;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increased scrutiny or prohibitions on CROs located in foreign countries, including China;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different regulatory requirements for drug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different standards of care in various countries that could complicate the evaluation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different U.S. and foreign drug import and export rules;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different reimbursement systems and different competitive drugs indicated to treat the indication for which our product candidates are being developed;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reduced protection for intellectual property rights in certain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trade, economic or other policies by the U.S. or foreign governments, which may result in new or unexpected changes in tariffs, trade wars, barriers or restrictions, or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the United States Foreign Corrupt Practices Act (the FCPA) and other anti-corruption and anti-bribery laws;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taxes, including withholding of payroll taxes;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currency fluctuations and compliance with foreign currency exchange rules, which could result in increased operating expenses and reduced revenues, and other obligations incident to doing business in another country.</w:t>
      </w:r>
    </w:p>
    <w:p>
      <w:pPr>
        <w:pStyle w:val="TextBody"/>
        <w:bidi w:val="0"/>
        <w:spacing w:before="200" w:after="120"/>
        <w:jc w:val="left"/>
        <w:rPr>
          <w:rFonts w:ascii="Times New Roman" w:hAnsi="Times New Roman"/>
          <w:b/>
          <w:i/>
          <w:color w:val="000000"/>
          <w:sz w:val="20"/>
        </w:rPr>
      </w:pPr>
      <w:r>
        <w:rPr>
          <w:rFonts w:ascii="Times New Roman" w:hAnsi="Times New Roman"/>
          <w:b/>
          <w:i/>
          <w:color w:val="000000"/>
          <w:sz w:val="20"/>
        </w:rPr>
        <w:t>The ongoing shutdown of the U.S. government could prevent government agencies, including U.S. Customs and Border Protection (CBP) and FDA from performing normal business functions on which the operation of our business relies, which could negatively impact our business.</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The ongoing U.S. government shutdown has resulted in certain regulatory agencies, including the FDA, having to furlough critical employees and stop critical activities, including accepting application submissions for review. Other agencies, such as CBP, have been deemed “essential” and are continuing to operate. Disruptions at the CBP, FDA and other agencies, including furloughs and reductions in workforce, are subject to the political process, which is inherently unpredictable.</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Although we have yet to encounter significant delays at ports of entry due to the shutdown, in past government shutdowns, CBP delays were common in areas requiring manual review or discretionary approvals. If the current shutdown continues, the resulting delays and other disruptions could have a material adverse effect on our business.</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Our clinical studies require shipping clinical samples from our clinical study sites around the world to the United States for analysis and processing. CBP delays in import operations and CBP delays in inspecting imports, including difficulties with these samples clearing customs, may delay or otherwise adversely affect our ongoing clinical studies and their timelines, many of which have been communicated publicly.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Top-line, preliminary or interim data may not accurately reflect the final results of a particular study.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publicly disclose top-line, preliminary or interim data based on analysis of then-available efficacy, tolerability, PK and safety data, and the results and related findings and conclusions are subject to change following a more comprehensive data review related to the particular study. We also may make assumptions, estimates, calculations and conclusions as part of our data analyses, and we may not have received or had the opportunity to fully and carefully evaluate all data prior to release. As a result, the top-line, preliminary or interim results that we report may differ from final results of the same studies or different conclusions or considerations may qualify such results once additional data have been received and fully evaluated. Top-line, preliminary or interim data also remain subject to audit and verification procedures that may result in the final data differing materially from previously published top-line, preliminary or interim data. As a result, top-line, preliminary or interim data should be viewed with caution until the final data are available.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to top-line, preliminary or interim results, the information that we may publicly disclose regarding a particular nonclinical or clinical study is based on extensive information, and you or others may not agree with what we determine is the material or otherwise appropriate information to include in our disclosure. In addition, any information we determine not to disclose may ultimately be deemed significant with respect to future decisions, conclusions, views, activities or otherwise regarding a particular drug, drug candidate or our business. If the top-line, preliminary or interim data that we report differ from final results, or if others, including regulatory authorities, disagree with, or do not accept, the data or conclusions reached, our ability to obtain approval for, and commercialize, our product candidates may be harmed or delayed, which could harm our business, financial condition, operating results or prospects.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rely on third parties to formulate and manufacture our product candidates and products that we study in combination with our product candidates. Our use of third parties may increase the risk that we will not have sufficient quantities of our product candidates or other products on time or at an acceptable cost.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rely on third-party manufacturers to supply the quantities of our investigational product candidates used in our clinical and nonclinical studies. If any product candidate we develop or acquire in the future receives FDA or other regulatory approval, we expect to continue our reliance on one or more third-party contractors to manufacture our products. If, for any reason, we are unable to rely on any third-party sources we have identified to manufacture our product candidates, we would need to identify and contract with additional or replacement third-party manufacturers to manufacture drug substance and drug product for nonclinical, clinical and commercial purposes. We may be unsuccessful in identifying additional or replacement third-party manufacturers, or in negotiating acceptable terms with any that we do identify. If we are unable to establish and maintain manufacturing capacity, the development and sales of our products and our financial performance may be materially and adversely affected.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exposed to the following risks with respect to the manufacture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need to identify manufacturers for commercial supply on acceptable terms, which we may be unable to do because the number of potential manufacturers is limited, and the FDA must evaluate and approve any new or replacement contractor.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third-party manufacturers with whom we contract might be unable to formulate and manufacture our product candidates in the volume and quality required to meet our nonclinical, clinical and, if approved, commercial needs in a timely manner.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third-party manufacturers with whom we contract might not perform as agreed or might not remain in the contract manufacturing business for the time required to supply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One or more of any third-party manufacturers with whom we contract could be foreign, which increases the risk of shipping delays and adds the risk of import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have complete control over, and cannot ensure, any third-party manufacturers’ compliance with cGMP and other government regulations and corresponding foreign requirements, including periodic FDA and state regulatory inspections.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required to obtain intellectual property rights from third parties to manufacture our product candidates, and if any third-party manufacturer makes improvements in the manufacturing process for our product candidates, we may not own, or may have to share, the intellectual property rights to the innovation.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required to share our trade secrets and know-how with third parties, increasing risk of misappropriation or disclosure of our intellectual property by or to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When contracting with third-party manufacturers, we might compete with other companies for access to these manufacturers’ facilities and might be subject to manufacturing delays if the manufacturers give other clients higher priority than we are given.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Each of these risks could delay our development efforts, nonclinical studies and clinical studies or the approval, if any, of our product candidates by the FDA or applicable non-U.S. regulatory authorities and the commercialization of our product candidates. Furthermore, workforce reductions at the FDA, and any future reductions of staffing or other resources at the FDA, may lead to delays in inspecting facilities and, in turn, delayed FDA approvals for manufacturing changes. This could result in higher costs or deprive us of potential product revenues and materially harm our business, financial condition and results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we lose key management personnel and cannot recruit and retain similarly qualified replacements, our business may materially suffer.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are highly dependent on the services of our executive officers. Our employment agreements with our executive officers do not ensure their retention. We do not currently maintain, nor do we intend to obtain in the future, “key person” life insurance that would compensate us in the event of the death or disability of any of the members of our management team. Our executive officers are critical to our success, and unanticipated loss of any of these key employees could have a material adverse impact on our business, financial condition and results of operations.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collaboration partners might delay, prevent or undermine the success of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operating and financial strategy for the development, nonclinical and clinical testing, manufacture and commercialization of drug candidates heavily depends on collaborating with corporations, academic institutions, licensors, licensees, and other parties. However, there can be no assurance that we will successfully establish or maintain these collaborations. If a collaboration is terminated, replacement collaborators might not be available on attractive terms, or at all.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activities of any collaborator, including Gilead, will not be within our control and might not be within our power to influence. There can be no assurance that any collaborator will perform its obligations to our satisfaction or at all, that we will derive any revenue or profits from these collaborations, or that any collaborator will not compete with us. If any collaboration, including the Gilead Collaboration, is unsuccessful, we might require substantially greater capital to undertake development and marketing of our proposed products and might not be able to develop and market these products effectively, if at all. In addition, if Gilead does not opt-in to a program, it might lead to significant delays in introducing proposed products into certain markets and/or reduced sales of proposed products in such markets.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not be successful in establishing and maintaining collaborations, which could adversely affect our ability to develop certain of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Developing pharmaceutical products, conducting clinical studies, obtaining regulatory approval and commercializing those products are expensive and lengthy undertakings that require significant resources and expertise. We may seek to enter into collaborations, including licensing or partnering arrangements, with other companies to support the development and commercialization of any or multiple of our programs that Gilead declines to opt into or to obtain financing or share costs on these programs. If we are unable to enter into such collaborations on acceptable terms, if at all, we may be unable to advance certain of our product candidates through further nonclinical or clinical development. We expect to face competition in seeking appropriate partners. Moreover, collaboration arrangements are complex and time consuming to negotiate, document and implement and they may require substantial resources to maintain. We may not be successful in our efforts to establish and implement collaborations or other alternative arrangements for the development of our product candidates that Gilead declines to opt into.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If we are unable to reach agreement on favorable terms with a suitable collaboration partner for any of our product candidates that Gilead declines to opt into, we may need to limit the number of our product candidates to advance through further nonclinical or clinical development. Failure to achieve such successful collaborations would limit our options for support of the development and commercialization of our programs and for financing and would likely have a material adverse impact on our business, results of operations, financial condition and share price.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rely on data provided by third parties that has not been independently verified and could prove to be false, misleading, or incomplete.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rely on third-party vendors, scientists, investigators and collaborators to provide us with significant data and other information related to our projects, nonclinical studies and clinical studies, and our business. If these third parties provide inaccurate, misleading, or incomplete data, our business, prospects, and results of operations could be materially and adversely affected.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Significant disruptions of information technology systems or breaches of data security, including cybersecurity incidents, could materially and adversely affect our business, results of operations and financial condition.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collect and maintain information in digital form and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data. It is critical that we do so in a secure manner to maintain the confidentiality and integrity of such confidential information. We have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system outages, terrorism, war, telecommunication and electrical failures, cyberattacks, cybersecurity incidents or cyber intrusions over the Internet, attachments to emails, persons inside our organization, or persons with access to systems inside our organization.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risk of a cybersecurity incident or security breach or disruption, particularly through cyberattacks or cyber intrusion, has escalated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system outages and security vulnerabilities or incidents could be significant, and our efforts to address these problems may not be successful. If unsuccessful, these problems could cause interruptions, delays, cessation of service and other harm to our business and our competitive position, including material disruption of our product development programs. For example, any loss of clinical study data from completed or ongoing or planned clinical studies could result in delays in our regulatory approval efforts and significantly increase our costs to recover or reproduce the data.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state and non-U.S. privacy and security laws, if applicable, including the Health Insurance Portability and Accountability Act of 1996 (HIPAA), as amended by the Health Information Technology for Clinical Health Act of 2009, and its implementing rules and regulations, as well as regulations promulgated by the Federal Trade Commission, state breach notification law and the European Union (EU) General Data Protection Regulation (EU GDPR). We would also be exposed to a risk of loss or litigation and potential liability, which could materially adversely affect our business, results of operations and financial condition.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Research, development and commercialization goals, including data releases, may not be achieved in the timeframes that we publicly estimate, which could have an adverse impact on our business and could cause our stock price to decline.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set goals and make public statements regarding our expectations on timing of certain accomplishments, developments and milestones under our research and development programs. The actual timing of these events can vary significantly due to a number of factors, including, the amount of time, effort and resources committed to our programs by us and any collaborators and the uncertainties inherent in the clinical development and regulatory approval process. As a result, there can be no assurance that we or any collaborators will initiate or complete clinical development activities, make regulatory submissions or receive regulatory approvals as planned or that we or any collaborators will be able to adhere to our current schedule for the achievement of key milestones under any of our programs. If we or any collaborators fail to achieve one or more of the milestones as planned, or Gilead does not opt-in to any of our programs, our business could be materially and adversely affected, and the price of our common stock could decline.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Developments by competitors might render our product candidates or technologies obsolete or non-competitive.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pharmaceutical and biotechnology industries are intensely competitive. In addition, the clinical and commercial landscapes for recurrent genital herpes, HDV, HBV and transplant-related herpesviruses are rapidly changing; we expect new data from commercial and clinical-stage products to continue to emerge. We compete with organizations, some with significantly more resources, who are developing competitive product candidates. If our competitors develop effective treatments for recurrent genital herpes, HDV, HBV and transplant-related herpesviruses or any other indication or field we might pursue, and successfully commercialize those treatments, our business and prospects could be materially harmed.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Other companies with products using the same or similar mechanisms of action as ours may produce negative clinical data, which would adversely affect public and clinical communities’ perceptions of our product candidates, and may negatively impact regulatory approval of, or demand for, our potential 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Negative data from clinical studies using a competitor’s product candidates with the same or similar mechanisms of action (MOA) as ours could adversely impact the perception of the therapeutic use of our product candidates and our ability to enroll individuals in clinical studies. </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clinical and commercial success of our potential products will depend in part on the public and clinical communities’ acceptance of novel classes of product candidates. Moreover, our success depends upon physicians prescribing, and their patients being willing to receive, treatments that involve the use of our product candidates we may develop in lieu of, or in addition to, existing treatments with which they are already familiar and for which more clinical data may be available. Adverse events in our nonclinical or clinical studies or those of our competitors or of academic researchers utilizing the same MOA as our product candidates, even if not ultimately attributable to our product candidates, and any resulting publicity could result in increased governmental regulation, larger, more complex, or an increased number of clinical trial requirements, unfavorable public perception, potential regulatory delays in the testing or approval of our product candidates, stricter labeling requirements for our product candidates that are approved, if any, and a decrease in demand for any such products.</w:t>
      </w:r>
    </w:p>
    <w:p>
      <w:pPr>
        <w:pStyle w:val="TextBody"/>
        <w:bidi w:val="0"/>
        <w:jc w:val="left"/>
        <w:rPr>
          <w:rFonts w:ascii="Times New Roman" w:hAnsi="Times New Roman"/>
          <w:b/>
          <w:i/>
          <w:color w:val="000000"/>
          <w:sz w:val="20"/>
        </w:rPr>
      </w:pPr>
      <w:r>
        <w:rPr>
          <w:rFonts w:ascii="Times New Roman" w:hAnsi="Times New Roman"/>
          <w:b/>
          <w:i/>
          <w:color w:val="000000"/>
          <w:sz w:val="20"/>
        </w:rPr>
        <w:t>Our ability to use our net operating loss and credit carryforwards and certain other tax attributes may be limited.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net operating loss carryforwards due to prior period losses generated before January 1, 2024, which if not utilized, will begin to expire in 2029 for net operating loss carryforwards prior to 2018. If we are unable to generate sufficient taxable income to utilize our net operating loss carryforwards, pre-2018 carryforwards could expire unused and be unavailable to offset future income tax liabilities.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Under Sections 382 and 383 of the Internal Revenue Code of 1986, as amended (the Code), a corporation that undergoes an “ownership change” (generally defined as a greater than 50% change (by value) in its equity ownership over a three-year period) is subject to annual limitations on its ability to use its pre-change net operating loss carryforwards and other pre-change tax attributes (such as research tax credits) to offset its post-change income or taxes. We have experienced ownership changes in the past, most recently in August 2025, and future equity issuances may result in additional ownership change. Accordingly, some of our net operating losses or credits could expire unutilized, and our ability to utilize our net operating losses or credits to offset U.S. federal taxable income could be limited, which would result in increased future tax liability to us. We may also be subject to similar limitations at the state level.</w:t>
      </w:r>
    </w:p>
    <w:p>
      <w:pPr>
        <w:pStyle w:val="TextBody"/>
        <w:bidi w:val="0"/>
        <w:spacing w:before="80" w:after="283"/>
        <w:jc w:val="both"/>
        <w:rPr>
          <w:rFonts w:ascii="Times New Roman" w:hAnsi="Times New Roman"/>
          <w:b/>
          <w:color w:val="000000"/>
          <w:sz w:val="20"/>
        </w:rPr>
      </w:pPr>
      <w:r>
        <w:rPr>
          <w:rFonts w:ascii="Times New Roman" w:hAnsi="Times New Roman"/>
          <w:b/>
          <w:color w:val="000000"/>
          <w:sz w:val="20"/>
        </w:rPr>
        <w:t>Risks Related to Our Regulatory and Legal Environment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are and will be subject to extensive and costly government regulation, and the failure to comply with these regulations may have a material adverse effect on our operations and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product candidates are subject to extensive and rigorous domestic government regulation, including regulation by the FDA, the Centers for Medicare and Medicaid Services, other divisions of the U.S. Department of Health and Human Services (HHS), the U.S. Department of Justice, state and local governments, and their respective foreign equivalents. Both before and after approval of any product, we and our collaborators, suppliers, contract manufacturers and clinical investigators are subject to extensive regulation by governmental authorities in the United States and other countries, covering, among other things, testing, manufacturing, quality control, clinical studies, post-marketing studies, labeling, advertising, promotion, distribution, import and export, governmental pricing, price reporting and rebate requirements. Failure to comply with applicable requirements could result in one or more of the following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actions: warning or untitled letters; unanticipated expenditures; delays in approval or refusal to approve a product candidate; voluntary or mandatory product recall; product seizure; interruption of manufacturing or clinical studies; operating or marketing restrictions; injunctions; criminal prosecution and civil or criminal penalties, including fines and other monetary penalties; exclusion from federal health care programs such as Medicare and Medicaid; adverse publicity; and disruptions to our business.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or our collaborators obtain regulatory approval for a particular product, the approval might limit the intended medical uses for the product, limit our ability to promote, sell, and distribute the product, require that we conduct costly post-marketing surveillance, and/or require that we conduct ongoing post-marketing studies. Once obtained, any approvals might be withdrawn, including, for example, if there is a later discovery of previously unknown problems with the product, such as a previously unknown safety issue. If we, our collaborators, our contractors or our contract manufacturers fail to comply with applicable regulatory requirements at any stage during the regulatory process, such noncompliance could result in delays in the approval of applications or supplements to approved applications, refusal by a regulatory authority (including the FDA) to review pending marketing authorization applications or supplements to approved applications, untitled letters or warning letters, fines, import and export restrictions, product recalls or seizures, injunctions, total or partial suspension of production, civil penalties, withdrawals of previously approved marketing authorizations, recommendations by the FDA or other regulatory authorities against governmental contracts, and/or criminal prosecutions.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regulatory approval processes of the FDA and comparable foreign authorities are lengthy, time consuming and inherently unpredictable, and if we or our collaborators are ultimately unable to obtain regulatory approval for our product candidates, our business will be substantially harmed.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or any current or future collaborators, cannot assure you that we will receive the approvals necessary to commercialize for sale any of our product candidates, or any product candidate we acquire or develop in the future. We will need FDA approval to commercialize our product candidates in the United States and approvals from applicable regulatory authorities in foreign jurisdictions to commercialize our product candidates in those jurisdictions. To obtain FDA approval of any product candidate, we must submit to the FDA an NDA demonstrating that the product candidate is safe and effective for its intended use. This requires significant research, nonclinical studies, and clinical studies.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drugs that the FDA considers safe and effective for their indicated uses. The FDA has substantial discretion in the approval process and might require us to conduct additional nonclinical and clinical testing, perform post-marketing studies or otherwise limit or impose conditions on any approval we obtain.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ability of the FDA to review and approve new products has been in the past and may in the future be affected by a variety of factors, including government budget and funding levels, authorization and payment of user fees, the ability to hire and retain key personnel, as well as other statutory, regulatory and policy changes. In addition, funding of other government agencies that support research and development activities that pertain to FDA review, such as research to understand new technologies or establish new standards, can shift in response to changing administrative policies and priorities. Such policy shifts, including, for example, the recent efforts to downsize the federal workforce by restructuring the HHS and eliminating positions at the FDA, including teams critical to the FDA's ability to conduct regular inspections, reviews and other regulatory activities, such as issuing guidance for industry and regulations, and other federal agencies, may affect the timelines, completeness or duration of the FDA review process. In addition, the HHS may change the user fee reauthorization process or fail to reauthorize user fee programs. As a result, average review times at the FDA may fluctuate, and the outcome of any such review process may be impacted. A prolonged government shutdown or a widespread freeze on federal funding could also significantly impact the ability of the FDA to timely review and process our regulatory submissions and the National Institutes of Health to conduct research or provide grants, or cause other agencies that support the FDA to slow their work. In addition, if future legislation or administrative action or changes in FDA policy prevent the FDA or other regulatory authorities from conducting routine inspections, reviews, or other regulatory activities, it could significantly impact the ability of the FDA to timely review and process our regulatory submissions, which could have a material adverse effect on our business. Delays in obtaining regulatory approvals might: delay commercialization of, and our ability to derive product revenues from, our product candidates; impose costly procedures on us; and diminish any competitive advantages that we might otherwise enjoy.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Even if we comply with all FDA requests, the FDA might ultimately reject one or more of our NDAs. We cannot be sure that we will ever obtain regulatory approval and commercialize any of our current or future product candidates. In foreign jurisdictions, we are subject to regulatory approval processes and risks similar to those associated with the FDA described above. We cannot assure you that we will receive the approvals necessary to commercialize our product candidates for sale outside the United States.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and our collaborators may be subject, directly or indirectly, to applicable U.S. federal and state anti-kickback, false claims laws, physician payment transparency laws, other fraud and abuse laws or similar healthcare and security laws and regulations, and health information privacy and security laws, which could expose us or them to criminal sanctions, civil penalties, exclusion or suspension from federal and state healthcare programs, contractual damages, reputational harm and diminished profits and future earnings.</w:t>
      </w:r>
    </w:p>
    <w:p>
      <w:pPr>
        <w:pStyle w:val="TextBody"/>
        <w:bidi w:val="0"/>
        <w:spacing w:before="200" w:after="240"/>
        <w:jc w:val="both"/>
        <w:rPr>
          <w:rFonts w:ascii="Times New Roman" w:hAnsi="Times New Roman"/>
          <w:color w:val="000000"/>
          <w:sz w:val="20"/>
        </w:rPr>
      </w:pPr>
      <w:r>
        <w:rPr>
          <w:rFonts w:ascii="Times New Roman" w:hAnsi="Times New Roman"/>
          <w:color w:val="000000"/>
          <w:sz w:val="20"/>
        </w:rPr>
        <w:t>Healthcare providers, physicians and others play a primary role in the recommendation and prescription of any products for which we obtain regulatory approval. If we obtain FDA approval for any of our drug candidates and begin commercializing those drugs in the United States, our operations may be subject to various federal and state fraud and abuse laws, including the federal Anti-Kickback Statute, the federal False Claims Act, and physician payment sunshine laws and regulations. Additionally, we are subject to state and non-U.S. equivalents of each of the healthcare laws described above, among others, some of which may be broader in scope and may apply regardless of the payor. These laws may impact, among other things, our proposed sales, marketing and education programs. For example, there are federal and state healthcare laws and regulations that govern prescription drug marketing practices, including off-label promotion, and increased scrutiny of direct-to-consumer advertisements. In addition, we may be subject to patient privacy regulation by both the federal government and the states and foreign jurisdictions in which we conduct our business. If we fail to comply with any applicable federal, state or foreign legal requirement, we could be subject to penalties.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Regulators globally are imposing greater monetary fines for privacy violations. Privacy laws such as the EU GDPR and UK General Data Protection Regulation (UK GDPR) impose strict obligations on lawful processing, transparency and cross-border transfers of personal data (i.e., information which identifies an individual or from which an individual is identifiable). The EU GDPR applies to any company established in the EU as well as to those outside the EU if they process personal data in connection with the offering of goods or services to EU residents or the monitoring of their behavior within the EU, wherever such processing occurs. The EU GDPR includes operational requirements for companies that receive or process personal data of EU residents. The EU GDPR enhances data protection obligations for processors and controllers of personal data, including, for example, expanded disclosures about how personal data is to be used, limitations on retention of information, mandatory data breach notification requirements and notable obligations on services providers. Noncompliance with the EU GDPR may result in monetary penalties of up to €20 million or 4% of worldwide revenue, whichever is higher. The EU GDPR may increase our responsibility and liability in relation to personal data that we process and we may be required to implement additional mechanisms to ensure compliance with the EU GDPR, including as implemented by individual countries. In addition to the foregoing, a breach of the EU GDPR could result in regulatory investigations, reputational damage, fines and sanctions, orders to cease or change the processing of our data, enforcement notices,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 as the EU GDPR confers a private right of action on data subjects and consumer associations to lodge complaints with supervisory authorities, seek judicial remedies, and obtain compensation for damages resulting from violations.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European Economic Area (EEA) and United Kingdom impose rules with respect to cross-border transfers of personal data outside of the EEA and the United Kingdom to third countries, including the United States. In July 2020, the EU-U.S. Privacy Shield was invalidated as a valid personal data transfer mechanism between the EU and the U.S., and on June 4, 2021, the European Commission finalized new versions of the Standard Contractual Clauses (New SCCs), which apply to the transfer of personal data outside of the EU to a country not approved by the EU as providing an adequate level of protection for the processing of personal data. The New SCCs must be used for all relevant transfers of personal data outside the EEA (since December 27, 2022). On March 21, 2022, the United Kingdom implemented its own United Kingdom-specific international data transfer agreement (IDTA) and addendum to the New SCCs (UK Addendum) (collectively, the SCCs). Effective July 11, 2023, the new EU-U.S. Data Privacy Framework (DPF) has been recognized as adequate under EU law (a new framework to allow transfers of personal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40"/>
        <w:jc w:val="both"/>
        <w:rPr>
          <w:rFonts w:ascii="Times New Roman" w:hAnsi="Times New Roman"/>
          <w:color w:val="000000"/>
          <w:sz w:val="20"/>
        </w:rPr>
      </w:pPr>
      <w:r>
        <w:rPr>
          <w:rFonts w:ascii="Times New Roman" w:hAnsi="Times New Roman"/>
          <w:color w:val="000000"/>
          <w:sz w:val="20"/>
        </w:rPr>
        <w:t>data from the EU to certified companies in the U.S.). The United Kingdom has also approved a United Kingdom extension to the EU-U.S. Data Privacy Framework, which was laid before Parliament on September 21, 2023 and came into force on October 12, 2023. However, the DPF is subject to further legal challenge, just as the EU-U.S. Privacy Shield was, which could cause the legal requirements for personal data transfers from the EU to the U.S. to become uncertain once again. EU data protection authorities have and may again block the use of certain U.S.-based services that involve the transfer of personal data to the U.S. In the EU and other markets, potential new rules and restrictions on the flow of personal data across borders could increase the cost and complexity of doing business in those regions.</w:t>
      </w:r>
    </w:p>
    <w:p>
      <w:pPr>
        <w:pStyle w:val="TextBody"/>
        <w:bidi w:val="0"/>
        <w:jc w:val="both"/>
        <w:rPr>
          <w:rFonts w:ascii="Times New Roman" w:hAnsi="Times New Roman"/>
          <w:color w:val="000000"/>
          <w:sz w:val="20"/>
        </w:rPr>
      </w:pPr>
      <w:r>
        <w:rPr>
          <w:rFonts w:ascii="Times New Roman" w:hAnsi="Times New Roman"/>
          <w:color w:val="000000"/>
          <w:sz w:val="20"/>
        </w:rPr>
        <w:t xml:space="preserve">Following the United Kingdom’s departure from the EU, commonly referred to as “Brexit”, the UK GDPR exists alongside the United Kingdom Data Protection Act 2018, which implements certain derogations in the UK GDPR into United Kingdom law. Under the UK GDPR, companies not established in the United Kingdom but who process personal data in relation to the offering of goods or services to individuals in the United Kingdom, or to monitor their behavior will also be subject to the UK GDPR and will be required to appoint a data protection representative in the United Kingdom, provided certain exceptions are not met. While the EU GDPR and the UK GDPR remain substantially similar for the time being, the government of the United Kingdom has adopted reforms to its data privacy and cybersecurity legal framework in its Data Use and Access Act 2025, which became law on June 19, 2025 (phasing in between June 2025 and June 2026). Compliance with the EU GDPR and UK GDPR and other changes in laws or regulations associated with the enhanced protection of certain types of personal data, such as healthcare data or other sensitive information, could greatly increase our cost of developing our products or even prevent us from offering certain products in jurisdictions that we may operate in.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Many U.S. states have also enacted comprehensive privacy laws that impose certain obligations on covered businesses, including providing specific disclosures in privacy notices and affording residents of a given state certain rights concerning their personal data. Such rights may include the right to access, correct or delete certain personal data, and opt-out of certain data processing activities, such as targeted advertising, profiling and automated decision-making. The exercise of these rights may or may not impact our business and our ability to provide our products and services. Certain states impose stricter requirements for processing certain personal data, including sensitive personal data, for example by requiring that data privacy impact assessments be conducted prior to processing such data. These state laws also allow statutory fines for noncompliance. For example, the California Consumer Privacy Act (CCPA) places increased privacy and security obligations on entities handling personal data of consumers or households, employees and business representatives. The CCPA requires covered businesses to provide certain disclosures to consumers about their data collection, use and sharing practices, and to provide affected California residents with ways to opt-out of certain sales or transfers of personal data. The CCPA provides for fines of up to $7,988 per intentional violation and potentially allows private litigants affected by certain types of data breaches to recover significant statutory damages. While there is currently an exception for protected health information that is subject to HIPAA and clinical study regulations, as currently written, the CCPA may impact our business activities. The uncertainty surrounding the implementation of the CCPA exemplifies the vulnerability of our business to the evolving regulatory environment related to personal data and protected health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Because of the breadth of these laws and the narrowness of the statutory exceptions and safe harbors available, it is possible that some of our business activities could be subject to challenge under one or more of such laws.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Violations of these laws may be punishable by criminal and/or civil sanctions, including penalties, fines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 which may also adversely affect our business.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face the risk of product liability claims and might not be able to obtain insurance.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business exposes us to the risk of product liability claims that are inherent in drug development. If the use of one or more of our product candidates or approved drugs, if any, harms people, we might be subject to costly and damaging product liability claims brought against us by clinical study participants, consumers, health care providers,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pharmaceutical companies or others selling our products. Our inability to obtain sufficient product liability/clinical study insurance at an acceptable cost to protect against potential product liability claims could prevent or inhibit the commercialization of pharmaceutical products we develop. We cannot predict all of the possible harms or side effects that might result and, therefore, the amount of insurance coverage we maintain might not be adequate to cover all liabilities we might incur. If we are unable to obtain insurance at an acceptable cost or otherwise protect against potential product liability claims, we will be exposed to significant liabilities, which might materially and adversely affect our business and financial position. If we are sued for any injury allegedly caused by our products, our liability could exceed our total assets and our ability to pay. Any successful product liability claims brought against us would decrease our cash and may adversely affect our business, stock price and financial condition.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might be exposed to liability claims associated with the use of hazardous materials and chemicals.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research, development and manufacturing activities and/or those of our third-party contractors might involve the controlled use of hazardous materials and chemicals. Although we will strive to have our safety procedures, and those of our contractors, comply with federal, state and local laws and regulations for using, storing, handling and disposing of these materials, we cannot completely eliminate the risk of accidental injury or contamination from these materials. In the event of such an accident, we could be held liable for any resulting damages, and any liability could materially and adversely affect our business, financial condition and results of operations. In addition, the federal, state and local laws and regulations governing the use, manufacture, storage, handling and disposal of hazardous or radioactive materials and waste products might require us to incur substantial compliance costs that could materially and adversely affect our business, financial condition and results of operations.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employees, independent contractors, consultants, collaborators and CROs may engage in misconduct or other improper activities, including noncompliance with regulatory standards and requirements for which we may be held responsible and which could result in significant liability for us and harm our reputation.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exposed to the risk of fraud or other misconduct, including failure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comply with applicable regulations of, and provide accurate information to, the FDA or comparable foreign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comply with federal and state healthcare fraud and abuse laws and regulations and similar laws and regulations established and enforced by comparable foreign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comply with the FCPA, the U.K. Bribery Act 2010, the PRC Criminal Law, the PRC Anti-unfair Competition Law and other anti-bribery and trade laws;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report financial information and data accurately;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 unauthorized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Misconduct could also involve the improper use or misrepresentation of information obtained during clinical studies, creating fraudulent data in our nonclinical studies or clinical studies or illegal misappropriation of product materials, which could result in regulatory sanctions, delays in clinical studies, or serious harm to our reputation.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It is not always possible to identify and deter misconduct.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business depends on protecting our intellectual property.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If we, our licensors and our collaborators do not obtain protection for our respective intellectual property rights, our competitors might be able to take advantage of our research and development efforts to develop competing drugs. Our success, competitive position and future revenues, if any, depend in part on our ability and the abilities of our licensors to obtain and maintain patent protection for our products, methods, processes and other technologies, to preserve our trade secrets, to prevent third parties from infringing on our proprietary rights and to operate without infringing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proprietary rights of third parties.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positions allow us to do so. We cannot be certain that we will secure any rights to any issued patents with claims that cover any of our proprietary product candidates and technologies. The patent prosecution process is expensive and time-consuming, and we may be unable to file and prosecute all necessary or desirable patent applications at a reasonable cost or in a timely manner. We could fail to identify patentable aspects of our research and development output before it is too late to obtain patent protection or before our competitors secure patents covering such discoveries. The patent process also is subject to numerous risks and uncertainties, and there can be no assurance that we will be successful in protecting our products by obtaining and defending patents.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Composition-of-matter patents relating to the active pharmaceutical ingredient are generally considered to be the strongest form of intellectual property protection for pharmaceutical products.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Formulation patents protect the formulation of a product and do not prevent a competitor from making and marketing a product that has an identical active pharmaceutical ingredient to our product if the product is formulated differently than the patented formulation. We rely on a combination of these and other types of patents to protect our product candidates, and there can be no assurance that our intellectual property will create and sustain the competitive position of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Biotechnology and pharmaceutical product patents involve highly complex legal and scientific questions. Any patent applications that we own or license may fail to result in issued patents. In addition, the U.S. Patent and Trademark Office (USPTO) and patent offices in other jurisdictions often require that patent applications concerning pharmaceutical and/or biotechnology-related inventions are limited or narrowed substantially to cover only the specific innovations exemplified in the patent application, thereby limiting the scope of protection against competitive challenges. As a result, even if we or our licensors obtain patents, the patents might be substantially narrower than anticipated.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If patents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Patent and other intellectual property protection is crucial to the success of our business and prospects, and there is a substantial risk that such protections, if obtained, will prove inadequate. The legal systems of certain countries, including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Beyond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collaborators, contractors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incur substantial costs as a result of litigation or other proceedings relating to our patents and other intellectual property rights.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may in the future be involved in legal or administrative proceedings involving our intellectual property, including infringement of our intellectual property by third parties. These lawsuits or proceedings likely would be expensive, consume time and resources and divert the attention of managerial and scientific personnel, even if we were successful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stopping the infringement of such patents. There is a risk that these proceedings will decide that such patents or other intellectual property rights are not valid and that we do not have the right to stop the other party from using our inventions. There is also the risk that, even if the validity of such patents is upheld, the court or administrative agency will refuse to stop the other party on the ground that such other party’s activities do not infringe our rights to such patents. If we were not successful in defending our intellectual property, our competitors could develop and market products based on our discoveries, which may reduce demand for our products.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infringe the intellectual property rights of others, which may prevent or delay our product development efforts and stop us from commercializing or increase the costs of commercializing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success will depend in part on our ability to operate without infringing the proprietary rights of third parties. Our competitors may have filed, and may in the future file, patent applications covering products and technologies similar to ours. Any such patent application may have priority over our patent applications, which could further require us to obtain rights from third parties to issued patents covering such products and technologies. We cannot guarantee that the manufacture, use or marketing of any product candidates that we develop will not infringe third-party patents.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 patent infringement suit were brought against us, we may be forced to stop or delay developing, manufacturing, or selling potential products that are claimed to infringe a third party’s intellectual property, unless that third party grants us rights to use its intellectual property. In such cases, we may be required to obtain licenses to patents or proprietary rights of others to continue development, manufacture or sale of our products. If we are unable to obtain a license or develop or obtain non-infringing technology, or if we fail to defend an infringement action successfully, or if we are found to have infringed a valid patent, we may incur substantial costs and monetary damages, encounter significant delays in bringing our product candidates to market and be precluded from manufacturing or selling our product candidates, any of which could harm our business significantly.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cost of maintaining our patent protection globally is high and requires continuous review and compliance. We may not be able to effectively maintain our intellectual property position throughout the major markets of the world.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USPTO and foreign patent authorities require maintenance fees, payments and continued compliance with a number of procedural and documentary requirements. Noncompliance may result in abandonment or lapse of patents or patent applications and a partial or complete loss of patent rights in the relevant jurisdiction. Such a loss could reduce royalty payments for lack of patent coverage from our collaboration partners or may result in competition, either of which could have a material adverse effect on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made, and will continue to make, certain strategic decisions in balancing the costs and the potential protections afforded by the patent laws of certain countries. As a result, we may not be able to prevent third parties from practicing our inventions in all countries, or from selling or importing products made using our inventions in and into the United States or other countries. Third parties may use our technologies in territories in which we have not obtained patent protection to develop their own products and may infringe our patents in territories which provide inadequate enforcement mechanisms. Such third-party products may compete with our product candidates, and our patents or other intellectual property rights may not be effective or sufficient to prevent them from competing. Such competition could materially and adversely affect our business and financial condition.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Intellectual property rights do not address all potential threats to any competitive advantage we may have.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be able to make compounds that are the same as, or similar to, our current or future product candidates but that are not covered by the claims of the patents that we own or have exclusively licensed.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any of our licensors or strategic partners might not have been the first to make the inventions covered by the issued patents or pending patent applications that we own or have exclusively licensed.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any of our licensors or strategic partners might not have been the first to file patent applications covering certain of our inventions.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prosecution of our pending patent applications may not result in granted patents.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Granted patents that we own or have exclusively licensed may not provide us with any competitive advantages, or may be held invalid or unenforceable, because of legal challenges by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Patent protection on our product candidates may expire before we are able to develop and commercialize the product, or before we are able to recover our investment in the product.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price of our common stock has in the past and may continue to fluctuate significantly, and you could lose all or part of your investment.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price of our common stock fluctuates widely. Continued volatility in the market price of our common stock might prevent a stockholder from being able to sell shares of our common stock at or above the price paid for such shares. The trading price of our common stock has in the past and may continue to be volatile and subject to wide price fluctuations in response to various factors, many of which are beyond our control, such as the progress, results and timing of our clinical and nonclinical studies and other studies involving our product candidates, the success or failure of our product candidates, the receipt or loss of required regulatory approvals for our product candidates, the availability of capital or the other risks discussed in this “Risk Factors” section.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amended and restated bylaws provide that the Court of Chancery of the State of Delaware will be the sole and exclusive forum for certain types of actions and proceedings that may be initiated by our stockholders, which could limit our stockholders’ ability to bring a claim in a judicial forum they find favorable for disputes with us or our directors, officers or other employees.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amended and restated bylaws provide that, with certain limited exceptions, unless we consent to the selection of an alternative forum, the Court of Chancery of the State of Delaware is the sole and exclusive forum for (1) any derivative action or proceeding brought on our behalf; (2) any action asserting a claim of breach of fiduciary duty owed by any of our current or former directors, officers or other employees to us or to our stockholders; (3) any action asserting a claim arising pursuant to the Delaware General Corporation Law, or our certificate of incorporation or bylaws (as each may be amended from time to time); or (4) any action asserting a claim governed by the internal affairs doctrine. Alternatively, if such court does not have jurisdiction, the Superior Court of Delaware, or, if such other court does not have jurisdiction, the United States District Court for the District of Delaware, will be the sole and exclusive forum for such actions and proceedings.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bylaws to be inapplicable or unenforceable in an action, we may incur additional costs associated with resolving such action in other jurisdictions, which could have a material adverse impact on our business. The choice of forum provision in our amended and restated bylaws will not preclude or contract the scope of exclusive federal or concurrent jurisdiction for actions brought under the federal securities laws, including the Exchange Act or the Securities Act, or the respective rules and regulations promulgated thereunder.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both"/>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both"/>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both"/>
        <w:rPr>
          <w:rFonts w:ascii="Times New Roman" w:hAnsi="Times New Roman"/>
          <w:sz w:val="20"/>
        </w:rPr>
      </w:pPr>
      <w:bookmarkStart w:id="18" w:name="item_5_or_information"/>
      <w:bookmarkEnd w:id="18"/>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 </w:t>
      </w:r>
      <w:r>
        <w:rPr>
          <w:rFonts w:ascii="Times New Roman" w:hAnsi="Times New Roman"/>
          <w:i/>
          <w:color w:val="000000"/>
          <w:sz w:val="20"/>
        </w:rPr>
        <w:t xml:space="preserve">Exhibits. </w:t>
      </w:r>
      <w:r>
        <w:rPr>
          <w:rFonts w:ascii="Times New Roman" w:hAnsi="Times New Roman"/>
          <w:color w:val="000000"/>
          <w:sz w:val="20"/>
        </w:rPr>
        <w:t>The following exhibits are filed or furnished, as applicable, as part of this quarterly report on Form 10-Q:</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74"/>
        <w:gridCol w:w="146"/>
        <w:gridCol w:w="5346"/>
        <w:gridCol w:w="146"/>
        <w:gridCol w:w="781"/>
        <w:gridCol w:w="146"/>
        <w:gridCol w:w="1066"/>
        <w:gridCol w:w="146"/>
        <w:gridCol w:w="771"/>
        <w:gridCol w:w="146"/>
        <w:gridCol w:w="737"/>
      </w:tblGrid>
      <w:tr>
        <w:trPr/>
        <w:tc>
          <w:tcPr>
            <w:tcW w:w="7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77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w:t>
            </w:r>
          </w:p>
          <w:p>
            <w:pPr>
              <w:pStyle w:val="TableContents"/>
              <w:bidi w:val="0"/>
              <w:jc w:val="center"/>
              <w:rPr>
                <w:rFonts w:ascii="Times New Roman" w:hAnsi="Times New Roman"/>
                <w:b/>
                <w:color w:val="000000"/>
                <w:sz w:val="16"/>
              </w:rPr>
            </w:pPr>
            <w:r>
              <w:rPr>
                <w:rFonts w:ascii="Times New Roman" w:hAnsi="Times New Roman"/>
                <w:b/>
                <w:color w:val="000000"/>
                <w:sz w:val="16"/>
              </w:rPr>
              <w:t>by Reference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from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r>
      <w:tr>
        <w:trPr/>
        <w:tc>
          <w:tcPr>
            <w:tcW w:w="7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6" w:type="dxa"/>
            <w:tcBorders/>
            <w:tcMar>
              <w:top w:w="0" w:type="dxa"/>
              <w:left w:w="0" w:type="dxa"/>
              <w:bottom w:w="0" w:type="dxa"/>
              <w:right w:w="0" w:type="dxa"/>
            </w:tcMar>
            <w:vAlign w:val="center"/>
          </w:tcPr>
          <w:p>
            <w:pPr>
              <w:pStyle w:val="TableContents"/>
              <w:bidi w:val="0"/>
              <w:spacing w:before="0" w:after="283"/>
              <w:jc w:val="left"/>
              <w:rPr/>
            </w:pPr>
            <w:hyperlink w:anchor="asmb-ex4_1.htm">
              <w:r>
                <w:rPr>
                  <w:rStyle w:val="InternetLink"/>
                  <w:rFonts w:ascii="Times New Roman" w:hAnsi="Times New Roman"/>
                  <w:color w:val="0000FF"/>
                  <w:sz w:val="20"/>
                  <w:u w:val="single"/>
                </w:rPr>
                <w:t>Form of Class A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6" w:type="dxa"/>
            <w:tcBorders/>
            <w:tcMar>
              <w:top w:w="0" w:type="dxa"/>
              <w:left w:w="0" w:type="dxa"/>
              <w:bottom w:w="0" w:type="dxa"/>
              <w:right w:w="0" w:type="dxa"/>
            </w:tcMar>
            <w:vAlign w:val="center"/>
          </w:tcPr>
          <w:p>
            <w:pPr>
              <w:pStyle w:val="TableContents"/>
              <w:bidi w:val="0"/>
              <w:spacing w:before="0" w:after="283"/>
              <w:jc w:val="left"/>
              <w:rPr/>
            </w:pPr>
            <w:hyperlink w:anchor="asmb-ex4_2.htm">
              <w:r>
                <w:rPr>
                  <w:rStyle w:val="InternetLink"/>
                  <w:rFonts w:ascii="Times New Roman" w:hAnsi="Times New Roman"/>
                  <w:color w:val="0000FF"/>
                  <w:sz w:val="20"/>
                  <w:u w:val="single"/>
                </w:rPr>
                <w:t>Form of Class B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6" w:type="dxa"/>
            <w:tcBorders/>
            <w:tcMar>
              <w:top w:w="0" w:type="dxa"/>
              <w:left w:w="0" w:type="dxa"/>
              <w:bottom w:w="0" w:type="dxa"/>
              <w:right w:w="0" w:type="dxa"/>
            </w:tcMar>
            <w:vAlign w:val="center"/>
          </w:tcPr>
          <w:p>
            <w:pPr>
              <w:pStyle w:val="TableContents"/>
              <w:bidi w:val="0"/>
              <w:spacing w:before="0" w:after="283"/>
              <w:jc w:val="left"/>
              <w:rPr/>
            </w:pPr>
            <w:hyperlink w:anchor="asmb-ex4_3.htm">
              <w:r>
                <w:rPr>
                  <w:rStyle w:val="InternetLink"/>
                  <w:rFonts w:ascii="Times New Roman" w:hAnsi="Times New Roman"/>
                  <w:color w:val="0000FF"/>
                  <w:sz w:val="20"/>
                  <w:u w:val="single"/>
                </w:rPr>
                <w:t>Form of Pre-Funded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46" w:type="dxa"/>
            <w:tcBorders/>
            <w:tcMar>
              <w:top w:w="0" w:type="dxa"/>
              <w:left w:w="0" w:type="dxa"/>
              <w:bottom w:w="0" w:type="dxa"/>
              <w:right w:w="0" w:type="dxa"/>
            </w:tcMar>
            <w:vAlign w:val="center"/>
          </w:tcPr>
          <w:p>
            <w:pPr>
              <w:pStyle w:val="TableContents"/>
              <w:bidi w:val="0"/>
              <w:spacing w:before="0" w:after="283"/>
              <w:jc w:val="left"/>
              <w:rPr/>
            </w:pPr>
            <w:hyperlink w:anchor="asmb-ex4_4.htm">
              <w:r>
                <w:rPr>
                  <w:rStyle w:val="InternetLink"/>
                  <w:rFonts w:ascii="Times New Roman" w:hAnsi="Times New Roman"/>
                  <w:color w:val="0000FF"/>
                  <w:sz w:val="20"/>
                  <w:u w:val="single"/>
                </w:rPr>
                <w:t>Private Placement Class A Warrant.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46" w:type="dxa"/>
            <w:tcBorders/>
            <w:tcMar>
              <w:top w:w="0" w:type="dxa"/>
              <w:left w:w="0" w:type="dxa"/>
              <w:bottom w:w="0" w:type="dxa"/>
              <w:right w:w="0" w:type="dxa"/>
            </w:tcMar>
            <w:vAlign w:val="center"/>
          </w:tcPr>
          <w:p>
            <w:pPr>
              <w:pStyle w:val="TableContents"/>
              <w:bidi w:val="0"/>
              <w:spacing w:before="0" w:after="283"/>
              <w:jc w:val="left"/>
              <w:rPr/>
            </w:pPr>
            <w:hyperlink w:anchor="asmb-ex4_5.htm">
              <w:r>
                <w:rPr>
                  <w:rStyle w:val="InternetLink"/>
                  <w:rFonts w:ascii="Times New Roman" w:hAnsi="Times New Roman"/>
                  <w:color w:val="0000FF"/>
                  <w:sz w:val="20"/>
                  <w:u w:val="single"/>
                </w:rPr>
                <w:t>Private Placement Class B Warrant.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46"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Securities Purchase Agreement, dated August 8, 2025, by and between Assembly Biosciences, Inc. and Gilead Sciences, Inc.</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08/11/2025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7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6" w:type="dxa"/>
            <w:tcBorders/>
            <w:tcMar>
              <w:top w:w="0" w:type="dxa"/>
              <w:left w:w="0" w:type="dxa"/>
              <w:bottom w:w="0" w:type="dxa"/>
              <w:right w:w="0" w:type="dxa"/>
            </w:tcMar>
            <w:vAlign w:val="center"/>
          </w:tcPr>
          <w:p>
            <w:pPr>
              <w:pStyle w:val="TableContents"/>
              <w:bidi w:val="0"/>
              <w:spacing w:before="0" w:after="283"/>
              <w:jc w:val="left"/>
              <w:rPr/>
            </w:pPr>
            <w:hyperlink w:anchor="asmb-ex31_1.htm">
              <w:r>
                <w:rPr>
                  <w:rStyle w:val="InternetLink"/>
                  <w:rFonts w:ascii="Times New Roman" w:hAnsi="Times New Roman"/>
                  <w:color w:val="0000FF"/>
                  <w:sz w:val="20"/>
                  <w:u w:val="single"/>
                </w:rPr>
                <w:t>Certification of Chief Executive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6" w:type="dxa"/>
            <w:tcBorders/>
            <w:tcMar>
              <w:top w:w="0" w:type="dxa"/>
              <w:left w:w="0" w:type="dxa"/>
              <w:bottom w:w="0" w:type="dxa"/>
              <w:right w:w="0" w:type="dxa"/>
            </w:tcMar>
            <w:vAlign w:val="center"/>
          </w:tcPr>
          <w:p>
            <w:pPr>
              <w:pStyle w:val="TableContents"/>
              <w:bidi w:val="0"/>
              <w:spacing w:before="0" w:after="283"/>
              <w:jc w:val="left"/>
              <w:rPr/>
            </w:pPr>
            <w:hyperlink w:anchor="asmb-ex31_2.htm">
              <w:r>
                <w:rPr>
                  <w:rStyle w:val="InternetLink"/>
                  <w:rFonts w:ascii="Times New Roman" w:hAnsi="Times New Roman"/>
                  <w:color w:val="0000FF"/>
                  <w:sz w:val="20"/>
                  <w:u w:val="single"/>
                </w:rPr>
                <w:t>Certification of Principal Financial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6" w:type="dxa"/>
            <w:tcBorders/>
            <w:tcMar>
              <w:top w:w="0" w:type="dxa"/>
              <w:left w:w="0" w:type="dxa"/>
              <w:bottom w:w="0" w:type="dxa"/>
              <w:right w:w="0" w:type="dxa"/>
            </w:tcMar>
            <w:vAlign w:val="center"/>
          </w:tcPr>
          <w:p>
            <w:pPr>
              <w:pStyle w:val="TableContents"/>
              <w:bidi w:val="0"/>
              <w:spacing w:before="0" w:after="283"/>
              <w:jc w:val="left"/>
              <w:rPr/>
            </w:pPr>
            <w:hyperlink w:anchor="asmb-ex32_1.htm">
              <w:r>
                <w:rPr>
                  <w:rStyle w:val="InternetLink"/>
                  <w:rFonts w:ascii="Times New Roman" w:hAnsi="Times New Roman"/>
                  <w:color w:val="0000FF"/>
                  <w:sz w:val="20"/>
                  <w:u w:val="single"/>
                </w:rPr>
                <w:t>Certification of Chief Executive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6" w:type="dxa"/>
            <w:tcBorders/>
            <w:tcMar>
              <w:top w:w="0" w:type="dxa"/>
              <w:left w:w="0" w:type="dxa"/>
              <w:bottom w:w="0" w:type="dxa"/>
              <w:right w:w="0" w:type="dxa"/>
            </w:tcMar>
            <w:vAlign w:val="center"/>
          </w:tcPr>
          <w:p>
            <w:pPr>
              <w:pStyle w:val="TableContents"/>
              <w:bidi w:val="0"/>
              <w:spacing w:before="0" w:after="283"/>
              <w:jc w:val="left"/>
              <w:rPr/>
            </w:pPr>
            <w:hyperlink w:anchor="asmb-ex32_2.htm">
              <w:r>
                <w:rPr>
                  <w:rStyle w:val="InternetLink"/>
                  <w:rFonts w:ascii="Times New Roman" w:hAnsi="Times New Roman"/>
                  <w:color w:val="0000FF"/>
                  <w:sz w:val="20"/>
                  <w:u w:val="single"/>
                </w:rPr>
                <w:t>Certification of Principal Financial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Inline XBRL Instance Document-the instance document does not appear in the Interactive Data File as its XBRL</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Exhibits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The certification attached as Exhibit 32.1 that accompanies this Quarterly Report on Form 10-Q is to be deemed furnished and shall not be deemed “filed” with the SEC and is not to be incorporated by reference into any filing of Assembly Biosciences, Inc.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bookmarkStart w:id="20" w:name="signathure"/>
      <w:bookmarkEnd w:id="20"/>
      <w:r>
        <w:rPr/>
        <w:t> </w:t>
      </w:r>
    </w:p>
    <w:p>
      <w:pPr>
        <w:pStyle w:val="TextBody"/>
        <w:bidi w:val="0"/>
        <w:jc w:val="both"/>
        <w:rPr>
          <w:rFonts w:ascii="Times New Roman" w:hAnsi="Times New Roman"/>
          <w:color w:val="000000"/>
          <w:sz w:val="20"/>
        </w:rPr>
      </w:pPr>
      <w:r>
        <w:rPr>
          <w:rFonts w:ascii="Times New Roman" w:hAnsi="Times New Roman"/>
          <w:color w:val="000000"/>
          <w:sz w:val="20"/>
        </w:rPr>
        <w:t>In accordance with the requirements of the Securities Exchange Act of 1934, the registrant caused this report to be signed on its behalf by the undersigned, thereunto duly authorized.</w:t>
      </w:r>
    </w:p>
    <w:p>
      <w:pPr>
        <w:pStyle w:val="TextBody"/>
        <w:bidi w:val="0"/>
        <w:jc w:val="both"/>
        <w:rPr/>
      </w:pPr>
      <w:r>
        <w:rPr/>
        <w:t> </w:t>
      </w:r>
    </w:p>
    <w:tbl>
      <w:tblPr>
        <w:tblW w:w="7758" w:type="dxa"/>
        <w:jc w:val="left"/>
        <w:tblInd w:w="0" w:type="dxa"/>
        <w:tblLayout w:type="fixed"/>
        <w:tblCellMar>
          <w:top w:w="28" w:type="dxa"/>
          <w:left w:w="28" w:type="dxa"/>
          <w:bottom w:w="28" w:type="dxa"/>
          <w:right w:w="28" w:type="dxa"/>
        </w:tblCellMar>
      </w:tblPr>
      <w:tblGrid>
        <w:gridCol w:w="2206"/>
        <w:gridCol w:w="406"/>
        <w:gridCol w:w="5146"/>
      </w:tblGrid>
      <w:tr>
        <w:trPr/>
        <w:tc>
          <w:tcPr>
            <w:tcW w:w="22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Assembly Biosciences, Inc.</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10,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A. Okazaki</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A. Okazaki</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10,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Jeanette M. Bjorkquist</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Jeanette M. Bjorkquist</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 President, Finance</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(Principal Financial Officer and Principal Accounting Officer)</w:t>
            </w:r>
          </w:p>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181818"/>
          <w:sz w:val="24"/>
        </w:rPr>
      </w:pPr>
      <w:bookmarkStart w:id="21" w:name="asmb-ex4_1.htm"/>
      <w:bookmarkStart w:id="22" w:name="ksasmbex4_1"/>
      <w:bookmarkEnd w:id="21"/>
      <w:bookmarkEnd w:id="22"/>
      <w:r>
        <w:rPr>
          <w:rFonts w:ascii="Times New Roman" w:hAnsi="Times New Roman"/>
          <w:b/>
          <w:color w:val="181818"/>
          <w:sz w:val="24"/>
        </w:rPr>
        <w:t>Exhibit 4.1</w:t>
      </w:r>
      <w:r>
        <w:br w:type="page"/>
      </w:r>
    </w:p>
    <w:p>
      <w:pPr>
        <w:pStyle w:val="TextBody"/>
        <w:bidi w:val="0"/>
        <w:spacing w:before="240" w:after="283"/>
        <w:jc w:val="center"/>
        <w:rPr>
          <w:rFonts w:ascii="Times New Roman" w:hAnsi="Times New Roman"/>
          <w:b/>
          <w:color w:val="000000"/>
          <w:sz w:val="24"/>
        </w:rPr>
      </w:pPr>
      <w:bookmarkStart w:id="23" w:name="sty_ht1_0"/>
      <w:bookmarkEnd w:id="23"/>
      <w:r>
        <w:rPr>
          <w:rFonts w:ascii="Times New Roman" w:hAnsi="Times New Roman"/>
          <w:b/>
          <w:color w:val="000000"/>
          <w:sz w:val="24"/>
        </w:rPr>
        <w:t>COMMON STOCK PURCHASE WARRANT</w:t>
      </w:r>
    </w:p>
    <w:p>
      <w:pPr>
        <w:pStyle w:val="TextBody"/>
        <w:bidi w:val="0"/>
        <w:spacing w:before="240" w:after="283"/>
        <w:jc w:val="center"/>
        <w:rPr>
          <w:rFonts w:ascii="Times New Roman" w:hAnsi="Times New Roman"/>
          <w:b/>
          <w:color w:val="000000"/>
          <w:sz w:val="24"/>
        </w:rPr>
      </w:pPr>
      <w:bookmarkStart w:id="24" w:name="sty_ht1_1"/>
      <w:bookmarkEnd w:id="24"/>
      <w:r>
        <w:rPr>
          <w:rFonts w:ascii="Times New Roman" w:hAnsi="Times New Roman"/>
          <w:b/>
          <w:color w:val="000000"/>
          <w:sz w:val="24"/>
        </w:rPr>
        <w:t>ASSEMBLY BIOSCIENCES, INC.</w:t>
      </w:r>
    </w:p>
    <w:p>
      <w:pPr>
        <w:pStyle w:val="TextBody"/>
        <w:bidi w:val="0"/>
        <w:jc w:val="both"/>
        <w:rPr/>
      </w:pPr>
      <w:r>
        <w:rPr/>
        <w:t> </w:t>
      </w:r>
    </w:p>
    <w:tbl>
      <w:tblPr>
        <w:tblW w:w="5687" w:type="dxa"/>
        <w:jc w:val="left"/>
        <w:tblInd w:w="0" w:type="dxa"/>
        <w:tblLayout w:type="fixed"/>
        <w:tblCellMar>
          <w:top w:w="28" w:type="dxa"/>
          <w:left w:w="28" w:type="dxa"/>
          <w:bottom w:w="28" w:type="dxa"/>
          <w:right w:w="28" w:type="dxa"/>
        </w:tblCellMar>
      </w:tblPr>
      <w:tblGrid>
        <w:gridCol w:w="1906"/>
        <w:gridCol w:w="3781"/>
      </w:tblGrid>
      <w:tr>
        <w:trPr/>
        <w:tc>
          <w:tcPr>
            <w:tcW w:w="1906"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19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Warrant Shares: [ ]</w:t>
            </w:r>
          </w:p>
        </w:tc>
        <w:tc>
          <w:tcPr>
            <w:tcW w:w="37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Initial Exercise Date: August 11, 2025</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THIS COMMON STOCK PURCHASE WARRANT (the “</w:t>
      </w:r>
      <w:r>
        <w:rPr>
          <w:rFonts w:ascii="Times New Roman" w:hAnsi="Times New Roman"/>
          <w:color w:val="000000"/>
          <w:sz w:val="24"/>
          <w:u w:val="single"/>
        </w:rPr>
        <w:t>Warrant</w:t>
      </w:r>
      <w:r>
        <w:rPr>
          <w:rFonts w:ascii="Times New Roman" w:hAnsi="Times New Roman"/>
          <w:color w:val="000000"/>
          <w:sz w:val="20"/>
        </w:rPr>
        <w:t>”</w:t>
      </w:r>
      <w:r>
        <w:rPr>
          <w:rFonts w:ascii="Times New Roman" w:hAnsi="Times New Roman"/>
          <w:color w:val="000000"/>
          <w:sz w:val="24"/>
        </w:rPr>
        <w:t>) certifies that, for value received, [ ] or its assigns (the “</w:t>
      </w:r>
      <w:r>
        <w:rPr>
          <w:rFonts w:ascii="Times New Roman" w:hAnsi="Times New Roman"/>
          <w:color w:val="000000"/>
          <w:sz w:val="24"/>
          <w:u w:val="single"/>
        </w:rPr>
        <w:t>Holder</w:t>
      </w:r>
      <w:r>
        <w:rPr>
          <w:rFonts w:ascii="Times New Roman" w:hAnsi="Times New Roman"/>
          <w:color w:val="000000"/>
          <w:sz w:val="20"/>
        </w:rPr>
        <w:t>”</w:t>
      </w:r>
      <w:r>
        <w:rPr>
          <w:rFonts w:ascii="Times New Roman" w:hAnsi="Times New Roman"/>
          <w:color w:val="000000"/>
          <w:sz w:val="24"/>
        </w:rPr>
        <w:t>) is entitled, upon the terms and subject to the limitations on exercise and the conditions hereinafter set forth, at any time on or after the date hereof (the “</w:t>
      </w:r>
      <w:r>
        <w:rPr>
          <w:rFonts w:ascii="Times New Roman" w:hAnsi="Times New Roman"/>
          <w:color w:val="000000"/>
          <w:sz w:val="24"/>
          <w:u w:val="single"/>
        </w:rPr>
        <w:t>Initial Exercise Date</w:t>
      </w:r>
      <w:r>
        <w:rPr>
          <w:rFonts w:ascii="Times New Roman" w:hAnsi="Times New Roman"/>
          <w:color w:val="000000"/>
          <w:sz w:val="20"/>
        </w:rPr>
        <w:t>”</w:t>
      </w:r>
      <w:r>
        <w:rPr>
          <w:rFonts w:ascii="Times New Roman" w:hAnsi="Times New Roman"/>
          <w:color w:val="000000"/>
          <w:sz w:val="24"/>
        </w:rPr>
        <w:t>) and on or prior to the earlier of (i) 5:00 p.m. (New York City time) on August 11, 2030 and (ii) the date that is 30 days after the public announcement (whether by press release, document filed or furnished with the Commission (as defined below) or other form of public announcement) that the Company has completed enrollment (of at least 200 patients total) for its Phase 2 clinical study evaluating ABI-5366 vs. valacyclovir, provided that, if such date falls on a day other than a Trading Day, the next day (such earlier date, the “</w:t>
      </w:r>
      <w:r>
        <w:rPr>
          <w:rFonts w:ascii="Times New Roman" w:hAnsi="Times New Roman"/>
          <w:color w:val="000000"/>
          <w:sz w:val="24"/>
          <w:u w:val="single"/>
        </w:rPr>
        <w:t>Termination Date</w:t>
      </w:r>
      <w:r>
        <w:rPr>
          <w:rFonts w:ascii="Times New Roman" w:hAnsi="Times New Roman"/>
          <w:color w:val="000000"/>
          <w:sz w:val="20"/>
        </w:rPr>
        <w:t>”</w:t>
      </w:r>
      <w:r>
        <w:rPr>
          <w:rFonts w:ascii="Times New Roman" w:hAnsi="Times New Roman"/>
          <w:color w:val="000000"/>
          <w:sz w:val="24"/>
        </w:rPr>
        <w:t>) but not thereafter, to subscribe for and purchase from Assembly Biosciences,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up to [ ] shares (as subject to adjustment hereunder, the “</w:t>
      </w:r>
      <w:r>
        <w:rPr>
          <w:rFonts w:ascii="Times New Roman" w:hAnsi="Times New Roman"/>
          <w:color w:val="000000"/>
          <w:sz w:val="24"/>
          <w:u w:val="single"/>
        </w:rPr>
        <w:t>Warrant Shares</w:t>
      </w:r>
      <w:r>
        <w:rPr>
          <w:rFonts w:ascii="Times New Roman" w:hAnsi="Times New Roman"/>
          <w:color w:val="000000"/>
          <w:sz w:val="20"/>
        </w:rPr>
        <w:t>”</w:t>
      </w:r>
      <w:r>
        <w:rPr>
          <w:rFonts w:ascii="Times New Roman" w:hAnsi="Times New Roman"/>
          <w:color w:val="000000"/>
          <w:sz w:val="24"/>
        </w:rPr>
        <w:t>) of common stock, par value $0.001 per share, of the Company (the “</w:t>
      </w:r>
      <w:r>
        <w:rPr>
          <w:rFonts w:ascii="Times New Roman" w:hAnsi="Times New Roman"/>
          <w:color w:val="000000"/>
          <w:sz w:val="24"/>
          <w:u w:val="single"/>
        </w:rPr>
        <w:t>Common Stock</w:t>
      </w:r>
      <w:r>
        <w:rPr>
          <w:rFonts w:ascii="Times New Roman" w:hAnsi="Times New Roman"/>
          <w:color w:val="000000"/>
          <w:sz w:val="20"/>
        </w:rPr>
        <w:t>”</w:t>
      </w:r>
      <w:r>
        <w:rPr>
          <w:rFonts w:ascii="Times New Roman" w:hAnsi="Times New Roman"/>
          <w:color w:val="000000"/>
          <w:sz w:val="24"/>
        </w:rPr>
        <w:t>). The purchase price of one share of Common Stock under this Warrant shall be equal to the Exercise Price, as defined in Section 2(b).</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1. </w:t>
      </w:r>
      <w:r>
        <w:rPr>
          <w:rFonts w:ascii="Times New Roman" w:hAnsi="Times New Roman"/>
          <w:color w:val="000000"/>
          <w:sz w:val="24"/>
          <w:u w:val="single"/>
        </w:rPr>
        <w:t>Exercise.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Exercise of Warrant</w:t>
      </w:r>
      <w:r>
        <w:rPr>
          <w:rFonts w:ascii="Times New Roman" w:hAnsi="Times New Roman"/>
          <w:color w:val="000000"/>
          <w:sz w:val="24"/>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Times New Roman" w:hAnsi="Times New Roman"/>
          <w:color w:val="000000"/>
          <w:sz w:val="24"/>
          <w:u w:val="single"/>
        </w:rPr>
        <w:t>Notice of Exercise</w:t>
      </w:r>
      <w:r>
        <w:rPr>
          <w:color w:val="000000"/>
        </w:rPr>
        <w:t>”</w:t>
      </w:r>
      <w:r>
        <w:rPr>
          <w:rFonts w:ascii="Times New Roman" w:hAnsi="Times New Roman"/>
          <w:color w:val="000000"/>
          <w:sz w:val="24"/>
        </w:rPr>
        <w:t xml:space="preserve">). Within the earlier of (i) one (1) Trading Day (as defined below) and (ii) the number of Trading Days comprising the Standard Settlement Period (as defined in Section 1(d)(i)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1(c)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its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4"/>
        </w:rPr>
        <w:t xml:space="preserve">receipt of such notice. </w:t>
      </w:r>
      <w:r>
        <w:rPr>
          <w:rFonts w:ascii="Times New Roman" w:hAnsi="Times New Roman"/>
          <w:b/>
          <w:color w:val="000000"/>
          <w:sz w:val="24"/>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Exercise Price</w:t>
      </w:r>
      <w:r>
        <w:rPr>
          <w:rFonts w:ascii="Times New Roman" w:hAnsi="Times New Roman"/>
          <w:color w:val="000000"/>
          <w:sz w:val="24"/>
        </w:rPr>
        <w:t>. The exercise price per share of Common Stock under this Warrant shall be $21.60, subject to adjustment hereunder (the “</w:t>
      </w:r>
      <w:r>
        <w:rPr>
          <w:rFonts w:ascii="Times New Roman" w:hAnsi="Times New Roman"/>
          <w:color w:val="000000"/>
          <w:sz w:val="24"/>
          <w:u w:val="single"/>
        </w:rPr>
        <w:t>Exercise Price</w:t>
      </w:r>
      <w:r>
        <w:rPr>
          <w:color w:val="00000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Cashless Exercise</w:t>
      </w:r>
      <w:r>
        <w:rPr>
          <w:rFonts w:ascii="Times New Roman" w:hAnsi="Times New Roman"/>
          <w:color w:val="000000"/>
          <w:sz w:val="24"/>
        </w:rPr>
        <w:t>. If at the time of exercise of this Warrant there is no effective registration statement registering, or the prospectus contained therein is not available for, or an exemption from registration is not available for, the issuance of the Warrant Shares,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before="240" w:after="283"/>
        <w:jc w:val="both"/>
        <w:rPr>
          <w:rFonts w:ascii="Times New Roman" w:hAnsi="Times New Roman"/>
          <w:sz w:val="20"/>
        </w:rPr>
      </w:pPr>
      <w:r>
        <w:rPr>
          <w:rFonts w:ascii="Times New Roman" w:hAnsi="Times New Roman"/>
          <w:color w:val="000000"/>
          <w:sz w:val="24"/>
        </w:rPr>
        <w:t>(A) = as applicable: (i) the VWAP on the Trading Day immediately preceding the date of the applicable Notice of Exercise if such Notice of Exercise is (1) both executed and delivered pursuant to Section 1(a) hereof on a day that is not a Trading Day or (2) both executed and delivered pursuant to Section 1(a)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hAnsi="Times New Roman"/>
          <w:color w:val="000000"/>
          <w:sz w:val="24"/>
          <w:u w:val="single"/>
        </w:rPr>
        <w:t>Bloomberg</w:t>
      </w:r>
      <w:r>
        <w:rPr>
          <w:rFonts w:ascii="Times New Roman" w:hAnsi="Times New Roman"/>
          <w:color w:val="000000"/>
          <w:sz w:val="20"/>
        </w:rPr>
        <w:t>”</w:t>
      </w:r>
      <w:r>
        <w:rPr>
          <w:rFonts w:ascii="Times New Roman" w:hAnsi="Times New Roman"/>
          <w:color w:val="000000"/>
          <w:sz w:val="24"/>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1(a) hereof or (iii) the VWAP on the date of the applicable Notice of Exercise if the date of such Notice of Exercise is a Trading Day and such Notice of Exercise is both executed and delivered pursuant to Section 1(a) hereof after the close of “regular trading hours” on such Trading Day;</w:t>
      </w:r>
    </w:p>
    <w:p>
      <w:pPr>
        <w:pStyle w:val="TextBody"/>
        <w:bidi w:val="0"/>
        <w:spacing w:before="240" w:after="283"/>
        <w:jc w:val="both"/>
        <w:rPr>
          <w:rFonts w:ascii="Times New Roman" w:hAnsi="Times New Roman"/>
          <w:sz w:val="20"/>
        </w:rPr>
      </w:pPr>
      <w:r>
        <w:rPr>
          <w:rFonts w:ascii="Times New Roman" w:hAnsi="Times New Roman"/>
          <w:color w:val="000000"/>
          <w:sz w:val="24"/>
        </w:rPr>
        <w:t>(B) = the Exercise Price of this Warrant, as adjusted hereunder; and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 = the number of Warrant Shares that would be issuable upon exercise of this Warrant in accordance with the terms of this Warrant if such exercise were by means of a cash exercise rather than a cashless exercise.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by such Holder to the holding period of such Holder of this Warrant. The Company agrees not to take any position contrary to this paragraph.</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color w:val="000000"/>
        </w:rPr>
        <w:t>“</w:t>
      </w:r>
      <w:r>
        <w:rPr>
          <w:rFonts w:ascii="Times New Roman" w:hAnsi="Times New Roman"/>
          <w:color w:val="000000"/>
          <w:sz w:val="24"/>
          <w:u w:val="single"/>
        </w:rPr>
        <w:t>Bid Price</w:t>
      </w:r>
      <w:r>
        <w:rPr>
          <w:rFonts w:ascii="Times New Roman" w:hAnsi="Times New Roman"/>
          <w:color w:val="000000"/>
          <w:sz w:val="20"/>
        </w:rPr>
        <w:t xml:space="preserve">” </w:t>
      </w:r>
      <w:r>
        <w:rPr>
          <w:rFonts w:ascii="Times New Roman" w:hAnsi="Times New Roman"/>
          <w:color w:val="000000"/>
          <w:sz w:val="24"/>
        </w:rPr>
        <w:t>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the Board of Directors of the Company in good faith.</w:t>
      </w:r>
    </w:p>
    <w:p>
      <w:pPr>
        <w:pStyle w:val="TextBody"/>
        <w:bidi w:val="0"/>
        <w:spacing w:before="240" w:after="283"/>
        <w:jc w:val="both"/>
        <w:rPr/>
      </w:pPr>
      <w:r>
        <w:rPr>
          <w:color w:val="000000"/>
        </w:rPr>
        <w:t>“</w:t>
      </w:r>
      <w:r>
        <w:rPr>
          <w:rFonts w:ascii="Times New Roman" w:hAnsi="Times New Roman"/>
          <w:color w:val="000000"/>
          <w:sz w:val="24"/>
          <w:u w:val="single"/>
        </w:rPr>
        <w:t>Trading Day</w:t>
      </w:r>
      <w:r>
        <w:rPr>
          <w:rFonts w:ascii="Times New Roman" w:hAnsi="Times New Roman"/>
          <w:color w:val="000000"/>
          <w:sz w:val="20"/>
        </w:rPr>
        <w:t xml:space="preserve">” </w:t>
      </w:r>
      <w:r>
        <w:rPr>
          <w:rFonts w:ascii="Times New Roman" w:hAnsi="Times New Roman"/>
          <w:color w:val="000000"/>
          <w:sz w:val="24"/>
        </w:rPr>
        <w:t>means a day on which the principal Trading Market is open for trading.</w:t>
      </w:r>
    </w:p>
    <w:p>
      <w:pPr>
        <w:pStyle w:val="TextBody"/>
        <w:bidi w:val="0"/>
        <w:spacing w:before="240" w:after="283"/>
        <w:jc w:val="both"/>
        <w:rPr/>
      </w:pPr>
      <w:r>
        <w:rPr>
          <w:color w:val="000000"/>
        </w:rPr>
        <w:t>“</w:t>
      </w:r>
      <w:r>
        <w:rPr>
          <w:rFonts w:ascii="Times New Roman" w:hAnsi="Times New Roman"/>
          <w:color w:val="000000"/>
          <w:sz w:val="24"/>
          <w:u w:val="single"/>
        </w:rPr>
        <w:t>Trading Market</w:t>
      </w:r>
      <w:r>
        <w:rPr>
          <w:rFonts w:ascii="Times New Roman" w:hAnsi="Times New Roman"/>
          <w:color w:val="000000"/>
          <w:sz w:val="20"/>
        </w:rPr>
        <w:t xml:space="preserve">” </w:t>
      </w:r>
      <w:r>
        <w:rPr>
          <w:rFonts w:ascii="Times New Roman" w:hAnsi="Times New Roman"/>
          <w:color w:val="000000"/>
          <w:sz w:val="24"/>
        </w:rPr>
        <w:t>means any of the following markets or exchanges on which the Common Stock is listed or quoted for trading on the date in question: the NYSE American, the Nasdaq Capital Market, the Nasdaq Global Market, the Nasdaq Global Select Market, the New York Stock Exchange, the OTCQB or the OTCQX (or any successors to any of the foregoing).</w:t>
      </w:r>
    </w:p>
    <w:p>
      <w:pPr>
        <w:pStyle w:val="TextBody"/>
        <w:bidi w:val="0"/>
        <w:spacing w:before="240" w:after="283"/>
        <w:jc w:val="both"/>
        <w:rPr/>
      </w:pPr>
      <w:r>
        <w:rPr>
          <w:color w:val="000000"/>
        </w:rPr>
        <w:t>“</w:t>
      </w:r>
      <w:r>
        <w:rPr>
          <w:rFonts w:ascii="Times New Roman" w:hAnsi="Times New Roman"/>
          <w:color w:val="000000"/>
          <w:sz w:val="24"/>
          <w:u w:val="single"/>
        </w:rPr>
        <w:t>VWAP</w:t>
      </w:r>
      <w:r>
        <w:rPr>
          <w:rFonts w:ascii="Times New Roman" w:hAnsi="Times New Roman"/>
          <w:color w:val="000000"/>
          <w:sz w:val="20"/>
        </w:rPr>
        <w:t xml:space="preserve">” </w:t>
      </w:r>
      <w:r>
        <w:rPr>
          <w:rFonts w:ascii="Times New Roman" w:hAnsi="Times New Roman"/>
          <w:color w:val="000000"/>
          <w:sz w:val="24"/>
        </w:rPr>
        <w:t>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4:00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Open Market (or a similar organization or agency succeeding to its functions of reporting prices), the most recent bid price per share of the Common Stock so reported, or (d) in all other cases, the fair market value of a share of Common Stock as determined by the Board of Directors of the Company in good faith.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Mechanics of Exercise</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u w:val="single"/>
        </w:rPr>
        <w:t>Delivery of Warrant Shares Upon Exercise</w:t>
      </w:r>
      <w:r>
        <w:rPr>
          <w:rFonts w:ascii="Times New Roman" w:hAnsi="Times New Roman"/>
          <w:color w:val="000000"/>
          <w:sz w:val="24"/>
        </w:rPr>
        <w:t>. The Company shall cause the Warrant Shares purchased hereunder to be delivered by the Transfer Agent to the Holder by crediting the account of the Holder’s or its designee’s balance account with The Depository Trust Company through its Deposit or Withdrawal at Custodian system (“</w:t>
      </w:r>
      <w:r>
        <w:rPr>
          <w:rFonts w:ascii="Times New Roman" w:hAnsi="Times New Roman"/>
          <w:color w:val="000000"/>
          <w:sz w:val="24"/>
          <w:u w:val="single"/>
        </w:rPr>
        <w:t>DWAC</w:t>
      </w:r>
      <w:r>
        <w:rPr>
          <w:color w:val="000000"/>
        </w:rPr>
        <w:t>”</w:t>
      </w:r>
      <w:r>
        <w:rPr>
          <w:rFonts w:ascii="Times New Roman" w:hAnsi="Times New Roman"/>
          <w:color w:val="000000"/>
          <w:sz w:val="24"/>
        </w:rPr>
        <w:t xml:space="preserve">) if the Company is then a participant in such system and either (A) there is an effective registration statement permitting the issuance of the Warrant Shares to the Holder or resale of the Warrant Shares (and a concurrent resale is being made) by the Holder or (B) the Warrant Shares are eligible for resale by the Holder without volume or manner-of-sale limitations pursuant to Rule 144 (assuming cashless exercise of the Warrants), in each case, subject to the delivery by the Holder to the Company and its counsel and the Transfer Agent of customary representation letters and such other documents as such person may request, and otherwise by physical delivery of a certificate or a book-entry notation,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4"/>
        </w:rPr>
        <w:t>registered in the Company’s share register in the name of the Holder or its designee, for the number of Warrant Shares to which the Holder is entitled pursuant to such exercise to the address specified by the Holder in the Notice of Exercise by the date that is the earliest of (i) one (1) Trading Day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hAnsi="Times New Roman"/>
          <w:color w:val="000000"/>
          <w:sz w:val="24"/>
          <w:u w:val="single"/>
        </w:rPr>
        <w:t>Warrant Share Delivery Date</w:t>
      </w:r>
      <w:r>
        <w:rPr>
          <w:color w:val="000000"/>
        </w:rPr>
        <w:t>”</w:t>
      </w:r>
      <w:r>
        <w:rPr>
          <w:rFonts w:ascii="Times New Roman" w:hAnsi="Times New Roman"/>
          <w:color w:val="000000"/>
          <w:sz w:val="24"/>
        </w:rPr>
        <w:t>). Upon delivery of the Notice of Exercise to the Company,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to the Company.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hAnsi="Times New Roman"/>
          <w:color w:val="000000"/>
          <w:sz w:val="24"/>
          <w:u w:val="single"/>
        </w:rPr>
        <w:t>Standard Settlement Period</w:t>
      </w:r>
      <w:r>
        <w:rPr>
          <w:color w:val="000000"/>
        </w:rPr>
        <w:t xml:space="preserve">” </w:t>
      </w:r>
      <w:r>
        <w:rPr>
          <w:rFonts w:ascii="Times New Roman" w:hAnsi="Times New Roman"/>
          <w:color w:val="000000"/>
          <w:sz w:val="24"/>
        </w:rPr>
        <w:t>means the standard settlement period, expressed in a number of Trading Days, on the Company’s primary Trading Market with respect to the Common Stock as in effect on the date of delivery of the Notice of Exercise to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pPr>
      <w:r>
        <w:rPr>
          <w:rFonts w:ascii="Times New Roman" w:hAnsi="Times New Roman"/>
          <w:color w:val="000000"/>
          <w:sz w:val="24"/>
          <w:u w:val="single"/>
        </w:rPr>
        <w:t>Delivery of New Warrants Upon Exercise</w:t>
      </w:r>
      <w:r>
        <w:rPr>
          <w:rFonts w:ascii="Times New Roman" w:hAnsi="Times New Roman"/>
          <w:color w:val="000000"/>
          <w:sz w:val="24"/>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pPr>
      <w:r>
        <w:rPr>
          <w:rFonts w:ascii="Times New Roman" w:hAnsi="Times New Roman"/>
          <w:color w:val="000000"/>
          <w:sz w:val="24"/>
          <w:u w:val="single"/>
        </w:rPr>
        <w:t>Rescission Rights</w:t>
      </w:r>
      <w:r>
        <w:rPr>
          <w:rFonts w:ascii="Times New Roman" w:hAnsi="Times New Roman"/>
          <w:color w:val="000000"/>
          <w:sz w:val="24"/>
        </w:rPr>
        <w:t xml:space="preserve">. If the Company fails to cause the Transfer Agent to transmit to the Holder the Warrant Shares pursuant to Section 2(d)(i) by the Warrant Share Delivery Date, then the Holder will have the right to rescind such exercise.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pPr>
      <w:r>
        <w:rPr>
          <w:rFonts w:ascii="Times New Roman" w:hAnsi="Times New Roman"/>
          <w:color w:val="000000"/>
          <w:sz w:val="24"/>
          <w:u w:val="single"/>
        </w:rPr>
        <w:t>No Fractional Shares or Scrip</w:t>
      </w:r>
      <w:r>
        <w:rPr>
          <w:rFonts w:ascii="Times New Roman" w:hAnsi="Times New Roman"/>
          <w:color w:val="000000"/>
          <w:sz w:val="24"/>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40" w:after="283"/>
        <w:jc w:val="both"/>
        <w:rPr/>
      </w:pPr>
      <w:r>
        <w:rPr>
          <w:rFonts w:ascii="Times New Roman" w:hAnsi="Times New Roman"/>
          <w:color w:val="000000"/>
          <w:sz w:val="24"/>
          <w:u w:val="single"/>
        </w:rPr>
        <w:t>Charges, Taxes and Expenses</w:t>
      </w:r>
      <w:r>
        <w:rPr>
          <w:rFonts w:ascii="Times New Roman" w:hAnsi="Times New Roman"/>
          <w:color w:val="000000"/>
          <w:sz w:val="24"/>
        </w:rPr>
        <w:t xml:space="preserve">. Issuance of Warrant Shares shall be made without charge to the Holder for any issue or transfer tax or other incidental expense in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4"/>
        </w:rPr>
        <w:t xml:space="preserve">respect of the issuance of such Warrant Shares, all of which taxes and expenses shall be paid by the Company, and such Warrant Shares shall be issued in the name of the Holder or in such name or names as may be directed by the Holder;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w:t>
      </w:r>
    </w:p>
    <w:p>
      <w:pPr>
        <w:pStyle w:val="TextBody"/>
        <w:bidi w:val="0"/>
        <w:spacing w:before="240" w:after="283"/>
        <w:jc w:val="both"/>
        <w:rPr/>
      </w:pPr>
      <w:r>
        <w:rPr>
          <w:rFonts w:ascii="Times New Roman" w:hAnsi="Times New Roman"/>
          <w:color w:val="000000"/>
          <w:sz w:val="24"/>
          <w:u w:val="single"/>
        </w:rPr>
        <w:t>Closing of Books</w:t>
      </w:r>
      <w:r>
        <w:rPr>
          <w:rFonts w:ascii="Times New Roman" w:hAnsi="Times New Roman"/>
          <w:color w:val="000000"/>
          <w:sz w:val="24"/>
        </w:rPr>
        <w:t>. The Company will not close its stockholder books or records in any manner which prevents the timely exercise of this Warrant, pursuant to the terms 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Holder’s Exercise Limitations</w:t>
      </w:r>
      <w:r>
        <w:rPr>
          <w:rFonts w:ascii="Times New Roman" w:hAnsi="Times New Roman"/>
          <w:color w:val="000000"/>
          <w:sz w:val="24"/>
        </w:rPr>
        <w:t>. The Company shall not effect any exercise of this Warrant, and a Holder shall not have the right to exercise any portion of this Warrant, pursuant to Section 1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hAnsi="Times New Roman"/>
          <w:color w:val="000000"/>
          <w:sz w:val="24"/>
          <w:u w:val="single"/>
        </w:rPr>
        <w:t>Attribution Parties</w:t>
      </w:r>
      <w:r>
        <w:rPr>
          <w:color w:val="000000"/>
        </w:rPr>
        <w:t>”</w:t>
      </w:r>
      <w:r>
        <w:rPr>
          <w:rFonts w:ascii="Times New Roman" w:hAnsi="Times New Roman"/>
          <w:color w:val="000000"/>
          <w:sz w:val="24"/>
        </w:rPr>
        <w:t xml:space="preserve">)),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subject to a limitation on conversion or exercise analogous to the limitation contained herein beneficially owned by the Holder or any of its Affiliates or Attribution Parties. Except as set forth in the preceding sentence, for purposes of this Section 1(e),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1(e) applies, the determination of whether this Warrant is exercisable (in relation to other securities owned by the Holder together with any Affiliates and Attribution Parties) and of which portion of this Warrant is exercisable shall be in the sole discretion of the Holder, and the Holder’s submission of a Notice of Exercise to the Company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absent manifest error,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4"/>
        </w:rPr>
        <w:t>purposes of this Section 1(e),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As used herein, “</w:t>
      </w:r>
      <w:r>
        <w:rPr>
          <w:rFonts w:ascii="Times New Roman" w:hAnsi="Times New Roman"/>
          <w:color w:val="000000"/>
          <w:sz w:val="24"/>
          <w:u w:val="single"/>
        </w:rPr>
        <w:t>Affiliate</w:t>
      </w:r>
      <w:r>
        <w:rPr>
          <w:color w:val="000000"/>
        </w:rPr>
        <w:t xml:space="preserve">” </w:t>
      </w:r>
      <w:r>
        <w:rPr>
          <w:rFonts w:ascii="Times New Roman" w:hAnsi="Times New Roman"/>
          <w:color w:val="000000"/>
          <w:sz w:val="24"/>
        </w:rPr>
        <w:t>shall mean any Person directly or indirectly controlled by, controlling or under common control with, a Holder, as such terms are used in and construed under Rule 405 under the Securities Act, but only for so long as such control shall continue. The “</w:t>
      </w:r>
      <w:r>
        <w:rPr>
          <w:rFonts w:ascii="Times New Roman" w:hAnsi="Times New Roman"/>
          <w:color w:val="000000"/>
          <w:sz w:val="24"/>
          <w:u w:val="single"/>
        </w:rPr>
        <w:t>Beneficial Ownership Limitation</w:t>
      </w:r>
      <w:r>
        <w:rPr>
          <w:color w:val="000000"/>
        </w:rPr>
        <w:t xml:space="preserve">” </w:t>
      </w:r>
      <w:r>
        <w:rPr>
          <w:rFonts w:ascii="Times New Roman" w:hAnsi="Times New Roman"/>
          <w:color w:val="000000"/>
          <w:sz w:val="24"/>
        </w:rPr>
        <w:t>shall be 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1(e), provided that the Beneficial Ownership Limitation in no event exceeds 9.99% (19.99% in the case of a holder who beneficially owns more than 9.99% of our common stock immediately prior to the issue date) of the number of shares of the Common Stock outstanding immediately after giving effect to the issuance of shares of Common Stock upon exercise of this Warrant held by the Holder and the provisions of this Section 1(e) shall continue to apply. Any increase in the Beneficial Ownership Limitation will not be effective until the 61</w:t>
      </w:r>
      <w:r>
        <w:rPr>
          <w:rFonts w:ascii="Times New Roman" w:hAnsi="Times New Roman"/>
          <w:color w:val="000000"/>
          <w:sz w:val="16"/>
        </w:rPr>
        <w:t>st</w:t>
      </w:r>
      <w:r>
        <w:rPr>
          <w:color w:val="000000"/>
        </w:rPr>
        <w:t xml:space="preserve"> </w:t>
      </w:r>
      <w:r>
        <w:rPr>
          <w:rFonts w:ascii="Times New Roman" w:hAnsi="Times New Roman"/>
          <w:color w:val="000000"/>
          <w:sz w:val="24"/>
        </w:rPr>
        <w:t>day after such notice is delivered to the Company. The provisions of this paragraph shall be construed and implemented in a manner otherwise than in strict conformity with the terms of this Section 1(e)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2. </w:t>
      </w:r>
      <w:r>
        <w:rPr>
          <w:rFonts w:ascii="Times New Roman" w:hAnsi="Times New Roman"/>
          <w:color w:val="000000"/>
          <w:sz w:val="24"/>
          <w:u w:val="single"/>
        </w:rPr>
        <w:t>Certain Adjustments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Stock Dividends and Splits</w:t>
      </w:r>
      <w:r>
        <w:rPr>
          <w:rFonts w:ascii="Times New Roman" w:hAnsi="Times New Roman"/>
          <w:color w:val="000000"/>
          <w:sz w:val="24"/>
        </w:rPr>
        <w:t xml:space="preserve">.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exchange or conversion of the Warrants or any other warrant or exercisable, exchangeable or convertible securities, and shall not include Purchase Rights for which Section 3(b) shall apply or any distribution of assets for which Section 3(c) shall apply),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4"/>
        </w:rPr>
        <w:t>the aggregate Exercise Price of this Warrant shall remain unchanged. Any adjustment made pursuant to this Section 2(a) shall become effective immediately after the record date for the determination of stockholders entitled to receive such dividend or distribution and shall become effective immediately after the effective date in the case of a subdivision, combination or re-classification.</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Subsequent Rights Offerings</w:t>
      </w:r>
      <w:r>
        <w:rPr>
          <w:rFonts w:ascii="Times New Roman" w:hAnsi="Times New Roman"/>
          <w:color w:val="000000"/>
          <w:sz w:val="24"/>
        </w:rPr>
        <w:t xml:space="preserve">. In addition to any adjustments pursuant to Section 2(a) above, if at any time the Company grants, issues or sells any Common Stock Equivalents or rights to purchase stock, warrants, securities or other property pro rata to the record holders of any class of shares of Common Stock (the “Purchase Rights”),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Pro Rata Distributions</w:t>
      </w:r>
      <w:r>
        <w:rPr>
          <w:rFonts w:ascii="Times New Roman" w:hAnsi="Times New Roman"/>
          <w:color w:val="000000"/>
          <w:sz w:val="24"/>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“Distribution”),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Fundamental Transaction</w:t>
      </w:r>
      <w:r>
        <w:rPr>
          <w:rFonts w:ascii="Times New Roman" w:hAnsi="Times New Roman"/>
          <w:color w:val="000000"/>
          <w:sz w:val="24"/>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the assets of the Company and its Subsidiaries, taken as a whole,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 w:hAnsi="Times New Roman"/>
          <w:color w:val="000000"/>
          <w:sz w:val="24"/>
          <w:u w:val="single"/>
        </w:rPr>
        <w:t>Fundamental Transaction</w:t>
      </w:r>
      <w:r>
        <w:rPr>
          <w:color w:val="000000"/>
        </w:rPr>
        <w:t>”</w:t>
      </w:r>
      <w:r>
        <w:rPr>
          <w:rFonts w:ascii="Times New Roman" w:hAnsi="Times New Roman"/>
          <w:color w:val="000000"/>
          <w:sz w:val="24"/>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1(e) on the exercise of this Warrant), the number of shares of Common Stock of the successor or acquiring corporation or of the Company, if it is the surviving corporation, and any additional consideration (the “</w:t>
      </w:r>
      <w:r>
        <w:rPr>
          <w:rFonts w:ascii="Times New Roman" w:hAnsi="Times New Roman"/>
          <w:color w:val="000000"/>
          <w:sz w:val="24"/>
          <w:u w:val="single"/>
        </w:rPr>
        <w:t>Alternate Consideration</w:t>
      </w:r>
      <w:r>
        <w:rPr>
          <w:color w:val="000000"/>
        </w:rPr>
        <w:t>”</w:t>
      </w:r>
      <w:r>
        <w:rPr>
          <w:rFonts w:ascii="Times New Roman" w:hAnsi="Times New Roman"/>
          <w:color w:val="000000"/>
          <w:sz w:val="24"/>
        </w:rPr>
        <w:t xml:space="preserve">) receivable as a result of such Fundamental Transaction by a holder of the number of shares of Common Stock for which this Warrant is exercisable immediately prior to such Fundamental Transaction (without regard to any limitation in Section 1(e)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w:t>
      </w:r>
    </w:p>
    <w:p>
      <w:pPr>
        <w:pStyle w:val="TextBody"/>
        <w:bidi w:val="0"/>
        <w:spacing w:before="240" w:after="283"/>
        <w:jc w:val="both"/>
        <w:rPr>
          <w:rFonts w:ascii="Times New Roman" w:hAnsi="Times New Roman"/>
          <w:sz w:val="20"/>
        </w:rPr>
      </w:pPr>
      <w:r>
        <w:rPr>
          <w:rFonts w:ascii="Times New Roman" w:hAnsi="Times New Roman"/>
          <w:color w:val="000000"/>
          <w:sz w:val="24"/>
        </w:rPr>
        <w:t>The Company shall cause any successor entity in a Fundamental Transaction in which the Company is not the survivor (the “</w:t>
      </w:r>
      <w:r>
        <w:rPr>
          <w:rFonts w:ascii="Times New Roman" w:hAnsi="Times New Roman"/>
          <w:color w:val="000000"/>
          <w:sz w:val="24"/>
          <w:u w:val="single"/>
        </w:rPr>
        <w:t>Successor Entity</w:t>
      </w:r>
      <w:r>
        <w:rPr>
          <w:rFonts w:ascii="Times New Roman" w:hAnsi="Times New Roman"/>
          <w:color w:val="000000"/>
          <w:sz w:val="20"/>
        </w:rPr>
        <w:t>”</w:t>
      </w:r>
      <w:r>
        <w:rPr>
          <w:rFonts w:ascii="Times New Roman" w:hAnsi="Times New Roman"/>
          <w:color w:val="000000"/>
          <w:sz w:val="24"/>
        </w:rPr>
        <w:t>) to assume in writing all of the obligations of the Company under this Warrant and the other Transaction Documents in accordance with the provisions of this Section 2(d)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4"/>
        </w:rPr>
        <w:t>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Calculations</w:t>
      </w:r>
      <w:r>
        <w:rPr>
          <w:rFonts w:ascii="Times New Roman" w:hAnsi="Times New Roman"/>
          <w:color w:val="000000"/>
          <w:sz w:val="24"/>
        </w:rPr>
        <w:t>. All calculations under this Section 2 shall be made to the nearest cent or the nearest 1/100th of a share, as the case may be. For purposes of this Section 2, the number of shares of Common Stock deemed to be issued and outstanding as of a given date shall be the sum of the number of shares of Common Stock (excluding treasury shares, if any) issued and outstanding.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rFonts w:ascii="Times New Roman" w:hAnsi="Times New Roman"/>
          <w:color w:val="000000"/>
          <w:sz w:val="24"/>
          <w:u w:val="single"/>
        </w:rPr>
        <w:t>Notice to Holder</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u w:val="single"/>
        </w:rPr>
        <w:t>Adjustment to Exercise Price</w:t>
      </w:r>
      <w:r>
        <w:rPr>
          <w:rFonts w:ascii="Times New Roman" w:hAnsi="Times New Roman"/>
          <w:color w:val="000000"/>
          <w:sz w:val="24"/>
        </w:rPr>
        <w:t xml:space="preserve">. Whenever the Exercise Price is adjusted pursuant to any provision of this Section 2, the Company shall promptly deliver to the Holder by facsimile or email a notice setting forth the Exercise Price after such adjustment and any resulting adjustment to the number of Warrant Shares and setting forth a brief statement of the facts requiring such adjustment.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pPr>
      <w:r>
        <w:rPr>
          <w:rFonts w:ascii="Times New Roman" w:hAnsi="Times New Roman"/>
          <w:color w:val="000000"/>
          <w:sz w:val="24"/>
          <w:u w:val="single"/>
        </w:rPr>
        <w:t>Notice to Allow Exercise by Holder</w:t>
      </w:r>
      <w:r>
        <w:rPr>
          <w:rFonts w:ascii="Times New Roman" w:hAnsi="Times New Roman"/>
          <w:color w:val="000000"/>
          <w:sz w:val="24"/>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(and all of its Subsidiaries, taken as a whole)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substantially simultaneously with the giving of such notice, disclose such information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rFonts w:ascii="Times New Roman" w:hAnsi="Times New Roman"/>
          <w:color w:val="000000"/>
          <w:sz w:val="24"/>
          <w:u w:val="single"/>
        </w:rPr>
        <w:t>Voluntary Adjustment By Company</w:t>
      </w:r>
      <w:r>
        <w:rPr>
          <w:rFonts w:ascii="Times New Roman" w:hAnsi="Times New Roman"/>
          <w:color w:val="000000"/>
          <w:sz w:val="24"/>
        </w:rPr>
        <w:t>. Subject to the rules and regulations of the Trading Market, the Company may at any time during the term of this Warrant, subject to the prior written consent of the Holder, reduce the then current Exercise Price to any amount and for any period of time deemed appropriate by the board of directors of the Company.</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3. </w:t>
      </w:r>
      <w:r>
        <w:rPr>
          <w:rFonts w:ascii="Times New Roman" w:hAnsi="Times New Roman"/>
          <w:color w:val="000000"/>
          <w:sz w:val="24"/>
          <w:u w:val="single"/>
        </w:rPr>
        <w:t>Transfer of Warrant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Transferability</w:t>
      </w:r>
      <w:r>
        <w:rPr>
          <w:rFonts w:ascii="Times New Roman" w:hAnsi="Times New Roman"/>
          <w:color w:val="000000"/>
          <w:sz w:val="24"/>
        </w:rPr>
        <w:t xml:space="preserve">. Subject to compliance with any applicable securities laws and the conditions set forth in Section 3(d) hereof,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New Warrants</w:t>
      </w:r>
      <w:r>
        <w:rPr>
          <w:rFonts w:ascii="Times New Roman" w:hAnsi="Times New Roman"/>
          <w:color w:val="000000"/>
          <w:sz w:val="24"/>
        </w:rPr>
        <w:t xml:space="preserve">.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3(a),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Exercise Date and shall be identical with this Warrant except as to the number of Warrant Shares issuable pursuant thereto.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Warrant Register</w:t>
      </w:r>
      <w:r>
        <w:rPr>
          <w:rFonts w:ascii="Times New Roman" w:hAnsi="Times New Roman"/>
          <w:color w:val="000000"/>
          <w:sz w:val="24"/>
        </w:rPr>
        <w:t>. The Company shall register this Warrant, upon records to be maintained by the Company for that purpose (the “</w:t>
      </w:r>
      <w:r>
        <w:rPr>
          <w:rFonts w:ascii="Times New Roman" w:hAnsi="Times New Roman"/>
          <w:color w:val="000000"/>
          <w:sz w:val="24"/>
          <w:u w:val="single"/>
        </w:rPr>
        <w:t>Warrant Register</w:t>
      </w:r>
      <w:r>
        <w:rPr>
          <w:color w:val="000000"/>
        </w:rPr>
        <w:t>”</w:t>
      </w:r>
      <w:r>
        <w:rPr>
          <w:rFonts w:ascii="Times New Roman" w:hAnsi="Times New Roman"/>
          <w:color w:val="000000"/>
          <w:sz w:val="24"/>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Representation by the Holder</w:t>
      </w:r>
      <w:r>
        <w:rPr>
          <w:rFonts w:ascii="Times New Roman" w:hAnsi="Times New Roman"/>
          <w:color w:val="000000"/>
          <w:sz w:val="24"/>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4. </w:t>
      </w:r>
      <w:r>
        <w:rPr>
          <w:rFonts w:ascii="Times New Roman" w:hAnsi="Times New Roman"/>
          <w:color w:val="000000"/>
          <w:sz w:val="24"/>
          <w:u w:val="single"/>
        </w:rPr>
        <w:t>Miscellaneous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No Rights as Stockholder Until Exercise; No Settlement in Cash</w:t>
      </w:r>
      <w:r>
        <w:rPr>
          <w:rFonts w:ascii="Times New Roman" w:hAnsi="Times New Roman"/>
          <w:color w:val="000000"/>
          <w:sz w:val="24"/>
        </w:rPr>
        <w:t>. This Warrant does not entitle the Holder to any voting rights, dividends or other rights as a stockholder of the Company prior to the exercise hereof as set forth in Section 1(d)(i), except as expressly set forth in Section 3. Without limiting any rights of a Holder to receive Warrant Shares on a “cashless exercise” pursuant to Section 1(c) or to receive cash payments pursuant to Section 1(d)(i) and Section 1(d)(iv) herein, in no event shall the Company be required to net cash settle an exercise of this Warrant.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Loss, Theft, Destruction or Mutilation of Warrant</w:t>
      </w:r>
      <w:r>
        <w:rPr>
          <w:rFonts w:ascii="Times New Roman" w:hAnsi="Times New Roman"/>
          <w:color w:val="000000"/>
          <w:sz w:val="24"/>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Saturdays, Sundays, Holidays, etc</w:t>
      </w:r>
      <w:r>
        <w:rPr>
          <w:rFonts w:ascii="Times New Roman" w:hAnsi="Times New Roman"/>
          <w:color w:val="000000"/>
          <w:sz w:val="24"/>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Authorized Shares</w:t>
      </w:r>
      <w:r>
        <w:rPr>
          <w:rFonts w:ascii="Times New Roman" w:hAnsi="Times New Roman"/>
          <w:color w:val="000000"/>
          <w:sz w:val="24"/>
        </w:rPr>
        <w:t xml:space="preserve">. The Company covenants that, during the period the Warrant is outstanding, it will reserve from its authorized and unissued Common Stock a sufficient number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4"/>
        </w:rPr>
        <w:t>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Except and to the extent as waived or consented to by the Holder, the Company shall not take any action, including, without limitation, amending its certificate of incorporation or through any reorganization, transfer of assets, consolidation, merger, dissolution, issue or sale of securities or any other voluntary action, in order to avoid or seek to avoid the observance or performance of any of the terms of this Warrant, but will at all times in good faith assist in the carrying out of all such terms and in the taking of all such actions as may be necessary to carry out such terms.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Before taking any action which would result in an adjustment in the number of Warrant Shares for which this Warrant is exercisable or in the Exercise Price, the Company shall use commercially reasonable efforts to obtain all such authorizations or exemptions thereof, or consents thereto, as may be necessary from any public regulatory body or bodies having jurisdiction thereof.</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(e)</w:t>
      </w:r>
    </w:p>
    <w:p>
      <w:pPr>
        <w:pStyle w:val="TextBody"/>
        <w:bidi w:val="0"/>
        <w:spacing w:before="240" w:after="283"/>
        <w:jc w:val="both"/>
        <w:rPr/>
      </w:pPr>
      <w:r>
        <w:rPr>
          <w:rFonts w:ascii="Times New Roman" w:hAnsi="Times New Roman"/>
          <w:b/>
          <w:color w:val="000000"/>
          <w:sz w:val="24"/>
          <w:u w:val="single"/>
        </w:rPr>
        <w:t>Governing Law; Jurisdiction</w:t>
      </w:r>
      <w:r>
        <w:rPr>
          <w:rFonts w:ascii="Times New Roman" w:hAnsi="Times New Roman"/>
          <w:color w:val="000000"/>
          <w:sz w:val="24"/>
        </w:rPr>
        <w:t xml:space="preserve">. </w:t>
      </w:r>
      <w:r>
        <w:rPr>
          <w:rFonts w:ascii="Times New Roman" w:hAnsi="Times New Roman"/>
          <w:b/>
          <w:color w:val="000000"/>
          <w:sz w:val="24"/>
        </w:rPr>
        <w:t xml:space="preserve">ALL QUESTIONS CONCERNING THE CONSTRUCTION, VALIDITY, ENFORCEMENT AND INTERPRETATION OF THIS WARRANT SHALL BE GOVERNED BY AND CONSTRUED AND ENFORCED IN ACCORDANCE WITH THE LAWS OF THE STATE OF NEW YORK.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b/>
          <w:color w:val="000000"/>
          <w:sz w:val="24"/>
        </w:rPr>
        <w:t>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rFonts w:ascii="Times New Roman" w:hAnsi="Times New Roman"/>
          <w:color w:val="000000"/>
          <w:sz w:val="24"/>
          <w:u w:val="single"/>
        </w:rPr>
        <w:t>Restrictions</w:t>
      </w:r>
      <w:r>
        <w:rPr>
          <w:rFonts w:ascii="Times New Roman" w:hAnsi="Times New Roman"/>
          <w:color w:val="000000"/>
          <w:sz w:val="24"/>
        </w:rPr>
        <w:t>. The Holder acknowledges that the Warrant Shares acquired upon the exercise of this Warrant will have restrictions upon resale imposed by state and federal securities laws and will bear a restrictive legend, subject to Section 1(c) in the case of cashless exercise.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rFonts w:ascii="Times New Roman" w:hAnsi="Times New Roman"/>
          <w:color w:val="000000"/>
          <w:sz w:val="24"/>
          <w:u w:val="single"/>
        </w:rPr>
        <w:t>Nonwaiver and Expenses</w:t>
      </w:r>
      <w:r>
        <w:rPr>
          <w:rFonts w:ascii="Times New Roman" w:hAnsi="Times New Roman"/>
          <w:color w:val="000000"/>
          <w:sz w:val="24"/>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and documented out of pocket external attorneys’ fees of one counsel, including those of appellate proceedings, incurred by the Holder in collecting any amounts due pursuant hereto or in otherwise enforcing any of its rights, powers or remedies 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pPr>
      <w:r>
        <w:rPr>
          <w:rFonts w:ascii="Times New Roman" w:hAnsi="Times New Roman"/>
          <w:color w:val="000000"/>
          <w:sz w:val="24"/>
          <w:u w:val="single"/>
        </w:rPr>
        <w:t>Notices</w:t>
      </w:r>
      <w:r>
        <w:rPr>
          <w:rFonts w:ascii="Times New Roman" w:hAnsi="Times New Roman"/>
          <w:color w:val="000000"/>
          <w:sz w:val="24"/>
        </w:rPr>
        <w:t>. Any and all notices or other communications or deliveries hereunder (including, without limitation, any Exercise Notice) shall be in writing and shall be deemed given and effective on the earliest of (i) the date of transmission, if such notice or communication is delivered confirmed e-mail at the e-mail address specified by the Company prior to 5:30 P.M., New York City time, on a Trading Day, (ii) the next Trading Day after the date of transmission, if such notice or communication is delivered via confirmed e-mail at the e-mail address specified by the Company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u w:val="single"/>
        </w:rPr>
        <w:t>Limitation of Liability</w:t>
      </w:r>
      <w:r>
        <w:rPr>
          <w:rFonts w:ascii="Times New Roman" w:hAnsi="Times New Roman"/>
          <w:color w:val="000000"/>
          <w:sz w:val="24"/>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both"/>
        <w:rPr/>
      </w:pPr>
      <w:r>
        <w:rPr>
          <w:rFonts w:ascii="Times New Roman" w:hAnsi="Times New Roman"/>
          <w:color w:val="000000"/>
          <w:sz w:val="24"/>
          <w:u w:val="single"/>
        </w:rPr>
        <w:t>Remedies</w:t>
      </w:r>
      <w:r>
        <w:rPr>
          <w:rFonts w:ascii="Times New Roman" w:hAnsi="Times New Roman"/>
          <w:color w:val="000000"/>
          <w:sz w:val="24"/>
        </w:rPr>
        <w:t xml:space="preserve">. The Holder, in addition to being entitled to exercise all rights granted by law, including recovery of damages, will be entitled to specific performance of its rights under this Warrant. The Company agrees that monetary damages would not be adequate compensation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240" w:after="283"/>
        <w:jc w:val="both"/>
        <w:rPr/>
      </w:pPr>
      <w:r>
        <w:rPr>
          <w:rFonts w:ascii="Times New Roman" w:hAnsi="Times New Roman"/>
          <w:color w:val="000000"/>
          <w:sz w:val="24"/>
          <w:u w:val="single"/>
        </w:rPr>
        <w:t>Successors and Assigns</w:t>
      </w:r>
      <w:r>
        <w:rPr>
          <w:rFonts w:ascii="Times New Roman" w:hAnsi="Times New Roman"/>
          <w:color w:val="000000"/>
          <w:sz w:val="24"/>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w:t>
      </w:r>
    </w:p>
    <w:p>
      <w:pPr>
        <w:pStyle w:val="TextBody"/>
        <w:bidi w:val="0"/>
        <w:spacing w:before="240" w:after="283"/>
        <w:jc w:val="both"/>
        <w:rPr/>
      </w:pPr>
      <w:r>
        <w:rPr>
          <w:rFonts w:ascii="Times New Roman" w:hAnsi="Times New Roman"/>
          <w:color w:val="000000"/>
          <w:sz w:val="24"/>
          <w:u w:val="single"/>
        </w:rPr>
        <w:t>Amendment</w:t>
      </w:r>
      <w:r>
        <w:rPr>
          <w:rFonts w:ascii="Times New Roman" w:hAnsi="Times New Roman"/>
          <w:color w:val="000000"/>
          <w:sz w:val="24"/>
        </w:rPr>
        <w:t>. This Warrant may be modified or amended or the provisions hereof waived with the written consent of the Company and the Holder.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w:t>
      </w:r>
    </w:p>
    <w:p>
      <w:pPr>
        <w:pStyle w:val="TextBody"/>
        <w:bidi w:val="0"/>
        <w:spacing w:before="240" w:after="283"/>
        <w:jc w:val="both"/>
        <w:rPr/>
      </w:pPr>
      <w:r>
        <w:rPr>
          <w:rFonts w:ascii="Times New Roman" w:hAnsi="Times New Roman"/>
          <w:color w:val="000000"/>
          <w:sz w:val="24"/>
          <w:u w:val="single"/>
        </w:rPr>
        <w:t>Severability</w:t>
      </w:r>
      <w:r>
        <w:rPr>
          <w:rFonts w:ascii="Times New Roman" w:hAnsi="Times New Roman"/>
          <w:color w:val="000000"/>
          <w:sz w:val="24"/>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w:t>
      </w:r>
    </w:p>
    <w:p>
      <w:pPr>
        <w:pStyle w:val="TextBody"/>
        <w:bidi w:val="0"/>
        <w:spacing w:before="240" w:after="283"/>
        <w:jc w:val="both"/>
        <w:rPr/>
      </w:pPr>
      <w:r>
        <w:rPr>
          <w:rFonts w:ascii="Times New Roman" w:hAnsi="Times New Roman"/>
          <w:color w:val="000000"/>
          <w:sz w:val="24"/>
          <w:u w:val="single"/>
        </w:rPr>
        <w:t>Headings</w:t>
      </w:r>
      <w:r>
        <w:rPr>
          <w:rFonts w:ascii="Times New Roman" w:hAnsi="Times New Roman"/>
          <w:color w:val="000000"/>
          <w:sz w:val="24"/>
        </w:rPr>
        <w:t>. The headings used in this Warrant are for the convenience of reference only and shall not, for any purpose, be deemed a part of this Warrant.</w:t>
      </w:r>
    </w:p>
    <w:p>
      <w:pPr>
        <w:pStyle w:val="TextBody"/>
        <w:bidi w:val="0"/>
        <w:spacing w:before="240" w:after="283"/>
        <w:jc w:val="center"/>
        <w:rPr>
          <w:rFonts w:ascii="Times New Roman" w:hAnsi="Times New Roman"/>
          <w:color w:val="000000"/>
          <w:sz w:val="24"/>
        </w:rPr>
      </w:pPr>
      <w:bookmarkStart w:id="25" w:name="sty_hc_0"/>
      <w:bookmarkEnd w:id="25"/>
      <w:r>
        <w:rPr>
          <w:rFonts w:ascii="Times New Roman" w:hAnsi="Times New Roman"/>
          <w:color w:val="000000"/>
          <w:sz w:val="24"/>
        </w:rPr>
        <w:t>********************</w:t>
      </w:r>
    </w:p>
    <w:p>
      <w:pPr>
        <w:pStyle w:val="TextBody"/>
        <w:bidi w:val="0"/>
        <w:spacing w:before="240" w:after="283"/>
        <w:jc w:val="center"/>
        <w:rPr>
          <w:rFonts w:ascii="Times New Roman" w:hAnsi="Times New Roman"/>
          <w:i/>
          <w:color w:val="000000"/>
          <w:sz w:val="24"/>
        </w:rPr>
      </w:pPr>
      <w:bookmarkStart w:id="26" w:name="sty_hlbi_0"/>
      <w:bookmarkEnd w:id="26"/>
      <w:r>
        <w:rPr>
          <w:rFonts w:ascii="Times New Roman" w:hAnsi="Times New Roman"/>
          <w:i/>
          <w:color w:val="000000"/>
          <w:sz w:val="24"/>
        </w:rPr>
        <w:t>(Signature Page Follows)</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 WITNESS WHEREOF, the Company has caused this Warrant to be executed by its officer thereunto duly authorized as of the date first above indicated.</w:t>
      </w:r>
    </w:p>
    <w:p>
      <w:pPr>
        <w:pStyle w:val="TextBody"/>
        <w:bidi w:val="0"/>
        <w:spacing w:before="240" w:after="283"/>
        <w:jc w:val="right"/>
        <w:rPr>
          <w:rFonts w:ascii="Times New Roman" w:hAnsi="Times New Roman"/>
          <w:b/>
          <w:color w:val="000000"/>
          <w:sz w:val="24"/>
        </w:rPr>
      </w:pPr>
      <w:r>
        <w:rPr>
          <w:rFonts w:ascii="Times New Roman" w:hAnsi="Times New Roman"/>
          <w:b/>
          <w:color w:val="000000"/>
          <w:sz w:val="24"/>
        </w:rPr>
        <w:t>ASSEMBLY BIOSCIENCES, INC.</w:t>
      </w:r>
    </w:p>
    <w:p>
      <w:pPr>
        <w:pStyle w:val="TextBody"/>
        <w:bidi w:val="0"/>
        <w:jc w:val="right"/>
        <w:rPr/>
      </w:pPr>
      <w:r>
        <w:rPr/>
        <w:t> </w:t>
      </w:r>
    </w:p>
    <w:tbl>
      <w:tblPr>
        <w:tblW w:w="1097" w:type="dxa"/>
        <w:jc w:val="left"/>
        <w:tblInd w:w="0" w:type="dxa"/>
        <w:tblLayout w:type="fixed"/>
        <w:tblCellMar>
          <w:top w:w="28" w:type="dxa"/>
          <w:left w:w="28" w:type="dxa"/>
          <w:bottom w:w="28" w:type="dxa"/>
          <w:right w:w="28" w:type="dxa"/>
        </w:tblCellMar>
      </w:tblPr>
      <w:tblGrid>
        <w:gridCol w:w="421"/>
        <w:gridCol w:w="676"/>
      </w:tblGrid>
      <w:tr>
        <w:trPr/>
        <w:tc>
          <w:tcPr>
            <w:tcW w:w="42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r>
    </w:tbl>
    <w:p>
      <w:pPr>
        <w:pStyle w:val="TextBody"/>
        <w:bidi w:val="0"/>
        <w:spacing w:before="240" w:after="283"/>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NOTICE OF EXERCISE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Assembly Biosciences, Inc.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Payment shall take the form of (check applicable box):</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 in lawful money of the United States;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 if permitted the cancellation of such number of Warrant Shares as is necessary, in accordance with the formula set forth in subsection 1(c), to exercise this Warrant with respect to the maximum number of Warrant Shares purchasable pursuant to the cashless exercise procedure set forth in subsection 1(c).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Please issue said Warrant Shares in the name of the undersigned or in such other name as is specified below:</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______________________________</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Warrant Shares shall be delivered to the following DWAC Account Number: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_______________________________</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_______________________________</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_______________________________</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By its delivery of this Notice of Exercise, the undersigned represents and warrants to the Company that in giving effect to the exercise evidenced hereby the Holders will not beneficially own in excess of the number of shares of Common Stock permitted to be owned under Section 1(e) of the Warrant to which this notice relates.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[SIGNATURE OF HOLDER]</w:t>
      </w:r>
    </w:p>
    <w:p>
      <w:pPr>
        <w:pStyle w:val="TextBody"/>
        <w:bidi w:val="0"/>
        <w:jc w:val="both"/>
        <w:rPr/>
      </w:pPr>
      <w:r>
        <w:rPr/>
        <w:t> </w:t>
      </w:r>
    </w:p>
    <w:tbl>
      <w:tblPr>
        <w:tblW w:w="5366" w:type="dxa"/>
        <w:jc w:val="left"/>
        <w:tblInd w:w="0" w:type="dxa"/>
        <w:tblLayout w:type="fixed"/>
        <w:tblCellMar>
          <w:top w:w="28" w:type="dxa"/>
          <w:left w:w="28" w:type="dxa"/>
          <w:bottom w:w="28" w:type="dxa"/>
          <w:right w:w="28" w:type="dxa"/>
        </w:tblCellMar>
      </w:tblPr>
      <w:tblGrid>
        <w:gridCol w:w="3864"/>
        <w:gridCol w:w="738"/>
        <w:gridCol w:w="191"/>
        <w:gridCol w:w="191"/>
        <w:gridCol w:w="191"/>
        <w:gridCol w:w="191"/>
      </w:tblGrid>
      <w:tr>
        <w:trPr/>
        <w:tc>
          <w:tcPr>
            <w:tcW w:w="386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0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xml:space="preserve">Name of Investing Entity: </w:t>
            </w:r>
          </w:p>
        </w:tc>
        <w:tc>
          <w:tcPr>
            <w:tcW w:w="764" w:type="dxa"/>
            <w:gridSpan w:val="4"/>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r>
      <w:tr>
        <w:trPr/>
        <w:tc>
          <w:tcPr>
            <w:tcW w:w="5175" w:type="dxa"/>
            <w:gridSpan w:val="5"/>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i/>
                <w:color w:val="000000"/>
                <w:sz w:val="24"/>
              </w:rPr>
              <w:t>Signature of Authorized Signatory of Investing Entity</w:t>
            </w:r>
            <w:r>
              <w:rPr>
                <w:rFonts w:ascii="Times New Roman" w:hAnsi="Times New Roman"/>
                <w:color w:val="000000"/>
                <w:sz w:val="24"/>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984" w:type="dxa"/>
            <w:gridSpan w:val="4"/>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xml:space="preserve">Name of Authorized Signatory: </w:t>
            </w:r>
          </w:p>
        </w:tc>
        <w:tc>
          <w:tcPr>
            <w:tcW w:w="382" w:type="dxa"/>
            <w:gridSpan w:val="2"/>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r>
      <w:tr>
        <w:trPr/>
        <w:tc>
          <w:tcPr>
            <w:tcW w:w="4793"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xml:space="preserve">Title of Authorized Signatory: </w:t>
            </w:r>
          </w:p>
        </w:tc>
        <w:tc>
          <w:tcPr>
            <w:tcW w:w="573" w:type="dxa"/>
            <w:gridSpan w:val="3"/>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r>
      <w:tr>
        <w:trPr/>
        <w:tc>
          <w:tcPr>
            <w:tcW w:w="386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xml:space="preserve">Date: </w:t>
            </w:r>
          </w:p>
        </w:tc>
        <w:tc>
          <w:tcPr>
            <w:tcW w:w="1502" w:type="dxa"/>
            <w:gridSpan w:val="5"/>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ASSIGNMENT FORM</w:t>
      </w:r>
    </w:p>
    <w:p>
      <w:pPr>
        <w:pStyle w:val="TextBody"/>
        <w:bidi w:val="0"/>
        <w:spacing w:before="240" w:after="283"/>
        <w:jc w:val="center"/>
        <w:rPr>
          <w:rFonts w:ascii="Times New Roman" w:hAnsi="Times New Roman"/>
          <w:i/>
          <w:color w:val="000000"/>
          <w:sz w:val="24"/>
        </w:rPr>
      </w:pPr>
      <w:bookmarkStart w:id="27" w:name="sty_hli_0"/>
      <w:bookmarkEnd w:id="27"/>
      <w:r>
        <w:rPr>
          <w:rFonts w:ascii="Times New Roman" w:hAnsi="Times New Roman"/>
          <w:i/>
          <w:color w:val="000000"/>
          <w:sz w:val="24"/>
        </w:rPr>
        <w:t>(To assign the foregoing Warrant, execute this form and supply required information. Do not use this form to purchase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VALUE RECEIVED, the foregoing Warrant and all rights evidenced thereby are hereby assigned to</w:t>
      </w:r>
    </w:p>
    <w:p>
      <w:pPr>
        <w:pStyle w:val="TextBody"/>
        <w:bidi w:val="0"/>
        <w:jc w:val="both"/>
        <w:rPr/>
      </w:pPr>
      <w:r>
        <w:rPr/>
        <w:t> </w:t>
      </w:r>
    </w:p>
    <w:tbl>
      <w:tblPr>
        <w:tblW w:w="5307" w:type="dxa"/>
        <w:jc w:val="left"/>
        <w:tblInd w:w="0" w:type="dxa"/>
        <w:tblLayout w:type="fixed"/>
        <w:tblCellMar>
          <w:top w:w="28" w:type="dxa"/>
          <w:left w:w="28" w:type="dxa"/>
          <w:bottom w:w="28" w:type="dxa"/>
          <w:right w:w="28" w:type="dxa"/>
        </w:tblCellMar>
      </w:tblPr>
      <w:tblGrid>
        <w:gridCol w:w="3281"/>
        <w:gridCol w:w="469"/>
        <w:gridCol w:w="146"/>
        <w:gridCol w:w="1411"/>
      </w:tblGrid>
      <w:tr>
        <w:trPr/>
        <w:tc>
          <w:tcPr>
            <w:tcW w:w="328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375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Name:</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11"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r>
      <w:tr>
        <w:trPr/>
        <w:tc>
          <w:tcPr>
            <w:tcW w:w="3750"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(Please Print)</w:t>
            </w:r>
          </w:p>
        </w:tc>
      </w:tr>
      <w:tr>
        <w:trPr/>
        <w:tc>
          <w:tcPr>
            <w:tcW w:w="3750"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75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Address:</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11"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r>
      <w:tr>
        <w:trPr/>
        <w:tc>
          <w:tcPr>
            <w:tcW w:w="3750"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(Please Print)</w:t>
            </w:r>
          </w:p>
        </w:tc>
      </w:tr>
      <w:tr>
        <w:trPr/>
        <w:tc>
          <w:tcPr>
            <w:tcW w:w="3750"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75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Phone Number: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11"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r>
      <w:tr>
        <w:trPr/>
        <w:tc>
          <w:tcPr>
            <w:tcW w:w="3750"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75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xml:space="preserve">Email Address: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11"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r>
      <w:tr>
        <w:trPr/>
        <w:tc>
          <w:tcPr>
            <w:tcW w:w="3750"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75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Dated: _______________ __, ______</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750"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2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Holder’s Signature:</w:t>
            </w:r>
          </w:p>
        </w:tc>
        <w:tc>
          <w:tcPr>
            <w:tcW w:w="469"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14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281" w:type="dxa"/>
            <w:tcBorders/>
            <w:tcMar>
              <w:top w:w="0" w:type="dxa"/>
              <w:left w:w="0" w:type="dxa"/>
              <w:bottom w:w="0" w:type="dxa"/>
              <w:right w:w="0" w:type="dxa"/>
            </w:tcMar>
            <w:vAlign w:val="center"/>
          </w:tcPr>
          <w:p>
            <w:pPr>
              <w:pStyle w:val="TableContents"/>
              <w:bidi w:val="0"/>
              <w:spacing w:before="0" w:after="283"/>
              <w:jc w:val="both"/>
              <w:rPr/>
            </w:pPr>
            <w:r>
              <w:rPr/>
              <w:t> </w:t>
            </w:r>
          </w:p>
        </w:tc>
        <w:tc>
          <w:tcPr>
            <w:tcW w:w="469"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2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Holder’s Address:</w:t>
            </w:r>
          </w:p>
        </w:tc>
        <w:tc>
          <w:tcPr>
            <w:tcW w:w="469"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141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8" w:name="sty_ht1_01"/>
      <w:bookmarkStart w:id="29" w:name="asmb-ex4_2.htm"/>
      <w:bookmarkStart w:id="30" w:name="ksasmbex4_2"/>
      <w:bookmarkEnd w:id="28"/>
      <w:bookmarkEnd w:id="29"/>
      <w:bookmarkEnd w:id="30"/>
      <w:r>
        <w:rPr>
          <w:rFonts w:ascii="Times New Roman" w:hAnsi="Times New Roman"/>
          <w:b/>
          <w:color w:val="000000"/>
          <w:sz w:val="24"/>
        </w:rPr>
        <w:t>Exhibit 4.2</w:t>
      </w:r>
      <w:r>
        <w:br w:type="page"/>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COMMON STOCK PURCHASE WARRANT</w:t>
      </w:r>
    </w:p>
    <w:p>
      <w:pPr>
        <w:pStyle w:val="TextBody"/>
        <w:bidi w:val="0"/>
        <w:spacing w:before="240" w:after="283"/>
        <w:jc w:val="center"/>
        <w:rPr>
          <w:rFonts w:ascii="Times New Roman" w:hAnsi="Times New Roman"/>
          <w:b/>
          <w:color w:val="000000"/>
          <w:sz w:val="24"/>
        </w:rPr>
      </w:pPr>
      <w:bookmarkStart w:id="31" w:name="sty_ht1_11"/>
      <w:bookmarkEnd w:id="31"/>
      <w:r>
        <w:rPr>
          <w:rFonts w:ascii="Times New Roman" w:hAnsi="Times New Roman"/>
          <w:b/>
          <w:color w:val="000000"/>
          <w:sz w:val="24"/>
        </w:rPr>
        <w:t>ASSEMBLY BIOSCIENCES, INC.</w:t>
      </w:r>
    </w:p>
    <w:p>
      <w:pPr>
        <w:pStyle w:val="TextBody"/>
        <w:bidi w:val="0"/>
        <w:jc w:val="both"/>
        <w:rPr/>
      </w:pPr>
      <w:r>
        <w:rPr/>
        <w:t> </w:t>
      </w:r>
    </w:p>
    <w:tbl>
      <w:tblPr>
        <w:tblW w:w="6002" w:type="dxa"/>
        <w:jc w:val="left"/>
        <w:tblInd w:w="0" w:type="dxa"/>
        <w:tblLayout w:type="fixed"/>
        <w:tblCellMar>
          <w:top w:w="28" w:type="dxa"/>
          <w:left w:w="28" w:type="dxa"/>
          <w:bottom w:w="28" w:type="dxa"/>
          <w:right w:w="28" w:type="dxa"/>
        </w:tblCellMar>
      </w:tblPr>
      <w:tblGrid>
        <w:gridCol w:w="1906"/>
        <w:gridCol w:w="4096"/>
      </w:tblGrid>
      <w:tr>
        <w:trPr/>
        <w:tc>
          <w:tcPr>
            <w:tcW w:w="1906"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r>
      <w:tr>
        <w:trPr/>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Warrant Shares: [ ]</w:t>
            </w:r>
          </w:p>
        </w:tc>
        <w:tc>
          <w:tcPr>
            <w:tcW w:w="4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Initial Exercise Date: November 15, 2026</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THIS COMMON STOCK PURCHASE WARRANT (the “</w:t>
      </w:r>
      <w:r>
        <w:rPr>
          <w:rFonts w:ascii="Times New Roman" w:hAnsi="Times New Roman"/>
          <w:color w:val="000000"/>
          <w:sz w:val="24"/>
          <w:u w:val="single"/>
        </w:rPr>
        <w:t>Warrant</w:t>
      </w:r>
      <w:r>
        <w:rPr>
          <w:rFonts w:ascii="Times New Roman" w:hAnsi="Times New Roman"/>
          <w:color w:val="000000"/>
          <w:sz w:val="20"/>
        </w:rPr>
        <w:t>”</w:t>
      </w:r>
      <w:r>
        <w:rPr>
          <w:rFonts w:ascii="Times New Roman" w:hAnsi="Times New Roman"/>
          <w:color w:val="000000"/>
          <w:sz w:val="24"/>
        </w:rPr>
        <w:t>) certifies that, for value received, [ ] or its assigns (the “</w:t>
      </w:r>
      <w:r>
        <w:rPr>
          <w:rFonts w:ascii="Times New Roman" w:hAnsi="Times New Roman"/>
          <w:color w:val="000000"/>
          <w:sz w:val="24"/>
          <w:u w:val="single"/>
        </w:rPr>
        <w:t>Holder</w:t>
      </w:r>
      <w:r>
        <w:rPr>
          <w:rFonts w:ascii="Times New Roman" w:hAnsi="Times New Roman"/>
          <w:color w:val="000000"/>
          <w:sz w:val="20"/>
        </w:rPr>
        <w:t>”</w:t>
      </w:r>
      <w:r>
        <w:rPr>
          <w:rFonts w:ascii="Times New Roman" w:hAnsi="Times New Roman"/>
          <w:color w:val="000000"/>
          <w:sz w:val="24"/>
        </w:rPr>
        <w:t>) is entitled, upon the terms and subject to the limitations on exercise and the conditions hereinafter set forth, at any time on or after November 15, 2026 (the “</w:t>
      </w:r>
      <w:r>
        <w:rPr>
          <w:rFonts w:ascii="Times New Roman" w:hAnsi="Times New Roman"/>
          <w:color w:val="000000"/>
          <w:sz w:val="24"/>
          <w:u w:val="single"/>
        </w:rPr>
        <w:t>Initial Exercise Date</w:t>
      </w:r>
      <w:r>
        <w:rPr>
          <w:rFonts w:ascii="Times New Roman" w:hAnsi="Times New Roman"/>
          <w:color w:val="000000"/>
          <w:sz w:val="20"/>
        </w:rPr>
        <w:t>”</w:t>
      </w:r>
      <w:r>
        <w:rPr>
          <w:rFonts w:ascii="Times New Roman" w:hAnsi="Times New Roman"/>
          <w:color w:val="000000"/>
          <w:sz w:val="24"/>
        </w:rPr>
        <w:t>) and on or prior to December 31, 2026, provided that, if such date falls on a day other than a Trading Day, the next day (the “</w:t>
      </w:r>
      <w:r>
        <w:rPr>
          <w:rFonts w:ascii="Times New Roman" w:hAnsi="Times New Roman"/>
          <w:color w:val="000000"/>
          <w:sz w:val="24"/>
          <w:u w:val="single"/>
        </w:rPr>
        <w:t>Termination Date</w:t>
      </w:r>
      <w:r>
        <w:rPr>
          <w:rFonts w:ascii="Times New Roman" w:hAnsi="Times New Roman"/>
          <w:color w:val="000000"/>
          <w:sz w:val="20"/>
        </w:rPr>
        <w:t>”</w:t>
      </w:r>
      <w:r>
        <w:rPr>
          <w:rFonts w:ascii="Times New Roman" w:hAnsi="Times New Roman"/>
          <w:color w:val="000000"/>
          <w:sz w:val="24"/>
        </w:rPr>
        <w:t>) but not thereafter, to subscribe for and purchase from Assembly Biosciences,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up to [ ] shares (as subject to adjustment hereunder, the “</w:t>
      </w:r>
      <w:r>
        <w:rPr>
          <w:rFonts w:ascii="Times New Roman" w:hAnsi="Times New Roman"/>
          <w:color w:val="000000"/>
          <w:sz w:val="24"/>
          <w:u w:val="single"/>
        </w:rPr>
        <w:t>Warrant Shares</w:t>
      </w:r>
      <w:r>
        <w:rPr>
          <w:rFonts w:ascii="Times New Roman" w:hAnsi="Times New Roman"/>
          <w:color w:val="000000"/>
          <w:sz w:val="20"/>
        </w:rPr>
        <w:t>”</w:t>
      </w:r>
      <w:r>
        <w:rPr>
          <w:rFonts w:ascii="Times New Roman" w:hAnsi="Times New Roman"/>
          <w:color w:val="000000"/>
          <w:sz w:val="24"/>
        </w:rPr>
        <w:t>) of common stock, par value $0.001 per share, of the Company (the “</w:t>
      </w:r>
      <w:r>
        <w:rPr>
          <w:rFonts w:ascii="Times New Roman" w:hAnsi="Times New Roman"/>
          <w:color w:val="000000"/>
          <w:sz w:val="24"/>
          <w:u w:val="single"/>
        </w:rPr>
        <w:t>Common Stock</w:t>
      </w:r>
      <w:r>
        <w:rPr>
          <w:rFonts w:ascii="Times New Roman" w:hAnsi="Times New Roman"/>
          <w:color w:val="000000"/>
          <w:sz w:val="20"/>
        </w:rPr>
        <w:t>”</w:t>
      </w:r>
      <w:r>
        <w:rPr>
          <w:rFonts w:ascii="Times New Roman" w:hAnsi="Times New Roman"/>
          <w:color w:val="000000"/>
          <w:sz w:val="24"/>
        </w:rPr>
        <w:t>). Notwithstanding the foregoing, in the event that, prior to the Initial Exercise Date, the Company publicly announces that it has received at least $75.0 million in the aggregate of non-dilutive capital in connection with a collaboration agreement, then on the date of such public announcement the Warrant shall automatically terminate in full and be extinguished and shall no longer be exercisable. The purchase price of one share of Common Stock under this Warrant shall be equal to the Exercise Price, as defined in Section 2(b).</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1. </w:t>
      </w:r>
      <w:r>
        <w:rPr>
          <w:rFonts w:ascii="Times New Roman" w:hAnsi="Times New Roman"/>
          <w:color w:val="000000"/>
          <w:sz w:val="24"/>
          <w:u w:val="single"/>
        </w:rPr>
        <w:t>Exercise</w:t>
      </w:r>
      <w:r>
        <w:rPr>
          <w:rFonts w:ascii="Times New Roman" w:hAnsi="Times New Roman"/>
          <w:color w:val="FF0000"/>
          <w:sz w:val="24"/>
          <w:u w:val="single"/>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Exercise of Warrant</w:t>
      </w:r>
      <w:r>
        <w:rPr>
          <w:rFonts w:ascii="Times New Roman" w:hAnsi="Times New Roman"/>
          <w:color w:val="000000"/>
          <w:sz w:val="24"/>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Times New Roman" w:hAnsi="Times New Roman"/>
          <w:color w:val="000000"/>
          <w:sz w:val="24"/>
          <w:u w:val="single"/>
        </w:rPr>
        <w:t>Notice of Exercise</w:t>
      </w:r>
      <w:r>
        <w:rPr>
          <w:color w:val="000000"/>
        </w:rPr>
        <w:t>”</w:t>
      </w:r>
      <w:r>
        <w:rPr>
          <w:rFonts w:ascii="Times New Roman" w:hAnsi="Times New Roman"/>
          <w:color w:val="000000"/>
          <w:sz w:val="24"/>
        </w:rPr>
        <w:t xml:space="preserve">). Within the earlier of (i) one (1) Trading Day (as defined below) and (ii) the number of Trading Days comprising the Standard Settlement Period (as defined in Section 1(d)(i)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1(c)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its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4"/>
        </w:rPr>
        <w:t xml:space="preserve">receipt of such notice. </w:t>
      </w:r>
      <w:r>
        <w:rPr>
          <w:rFonts w:ascii="Times New Roman" w:hAnsi="Times New Roman"/>
          <w:b/>
          <w:color w:val="000000"/>
          <w:sz w:val="24"/>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Exercise Price</w:t>
      </w:r>
      <w:r>
        <w:rPr>
          <w:rFonts w:ascii="Times New Roman" w:hAnsi="Times New Roman"/>
          <w:color w:val="000000"/>
          <w:sz w:val="24"/>
        </w:rPr>
        <w:t>. The exercise price per share of Common Stock under this Warrant shall be $21.60, subject to adjustment hereunder (the “</w:t>
      </w:r>
      <w:r>
        <w:rPr>
          <w:rFonts w:ascii="Times New Roman" w:hAnsi="Times New Roman"/>
          <w:color w:val="000000"/>
          <w:sz w:val="24"/>
          <w:u w:val="single"/>
        </w:rPr>
        <w:t>Exercise Price</w:t>
      </w:r>
      <w:r>
        <w:rPr>
          <w:color w:val="00000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Cashless Exercise.</w:t>
      </w:r>
      <w:r>
        <w:rPr>
          <w:color w:val="000000"/>
        </w:rPr>
        <w:t xml:space="preserve"> </w:t>
      </w:r>
      <w:r>
        <w:rPr>
          <w:rFonts w:ascii="Times New Roman" w:hAnsi="Times New Roman"/>
          <w:color w:val="000000"/>
          <w:sz w:val="24"/>
        </w:rPr>
        <w:t>If at the time of exercise of this Warrant there is no effective registration statement registering, or the prospectus contained therein is not available for, or an exemption from registration is not available for, the issuance of the Warrant Shares,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before="240" w:after="283"/>
        <w:jc w:val="both"/>
        <w:rPr>
          <w:rFonts w:ascii="Times New Roman" w:hAnsi="Times New Roman"/>
          <w:sz w:val="20"/>
        </w:rPr>
      </w:pPr>
      <w:r>
        <w:rPr>
          <w:rFonts w:ascii="Times New Roman" w:hAnsi="Times New Roman"/>
          <w:color w:val="000000"/>
          <w:sz w:val="24"/>
        </w:rPr>
        <w:t>(A) = as applicable: (i) the VWAP on the Trading Day immediately preceding the date of the applicable Notice of Exercise if such Notice of Exercise is (1) both executed and delivered pursuant to Section 1(a) hereof on a day that is not a Trading Day or (2) both executed and delivered pursuant to Section 1(a)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hAnsi="Times New Roman"/>
          <w:color w:val="000000"/>
          <w:sz w:val="24"/>
          <w:u w:val="single"/>
        </w:rPr>
        <w:t>Bloomberg</w:t>
      </w:r>
      <w:r>
        <w:rPr>
          <w:rFonts w:ascii="Times New Roman" w:hAnsi="Times New Roman"/>
          <w:color w:val="000000"/>
          <w:sz w:val="20"/>
        </w:rPr>
        <w:t>”</w:t>
      </w:r>
      <w:r>
        <w:rPr>
          <w:rFonts w:ascii="Times New Roman" w:hAnsi="Times New Roman"/>
          <w:color w:val="000000"/>
          <w:sz w:val="24"/>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1(a) hereof or (iii) the VWAP on the date of the applicable Notice of Exercise if the date of such Notice of Exercise is a Trading Day and such Notice of Exercise is both executed and delivered pursuant to Section 1(a) hereof after the close of “regular trading hours” on such Trading Day;</w:t>
      </w:r>
    </w:p>
    <w:p>
      <w:pPr>
        <w:pStyle w:val="TextBody"/>
        <w:bidi w:val="0"/>
        <w:spacing w:before="240" w:after="283"/>
        <w:jc w:val="both"/>
        <w:rPr>
          <w:rFonts w:ascii="Times New Roman" w:hAnsi="Times New Roman"/>
          <w:sz w:val="20"/>
        </w:rPr>
      </w:pPr>
      <w:r>
        <w:rPr>
          <w:rFonts w:ascii="Times New Roman" w:hAnsi="Times New Roman"/>
          <w:color w:val="000000"/>
          <w:sz w:val="24"/>
        </w:rPr>
        <w:t>(B) = the Exercise Price of this Warrant, as adjusted hereunder; and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 = the number of Warrant Shares that would be issuable upon exercise of this Warrant in accordance with the terms of this Warrant if such exercise were by means of a cash exercise rather than a cashless exercise.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by such Holder to the holding period of such Holder of this Warrant. The Company agrees not to take any position contrary to this paragraph.</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color w:val="000000"/>
        </w:rPr>
        <w:t>“</w:t>
      </w:r>
      <w:r>
        <w:rPr>
          <w:rFonts w:ascii="Times New Roman" w:hAnsi="Times New Roman"/>
          <w:color w:val="000000"/>
          <w:sz w:val="24"/>
          <w:u w:val="single"/>
        </w:rPr>
        <w:t>Bid Price</w:t>
      </w:r>
      <w:r>
        <w:rPr>
          <w:rFonts w:ascii="Times New Roman" w:hAnsi="Times New Roman"/>
          <w:color w:val="000000"/>
          <w:sz w:val="20"/>
        </w:rPr>
        <w:t xml:space="preserve">” </w:t>
      </w:r>
      <w:r>
        <w:rPr>
          <w:rFonts w:ascii="Times New Roman" w:hAnsi="Times New Roman"/>
          <w:color w:val="000000"/>
          <w:sz w:val="24"/>
        </w:rPr>
        <w:t>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the Board of Directors of the Company in good faith.</w:t>
      </w:r>
    </w:p>
    <w:p>
      <w:pPr>
        <w:pStyle w:val="TextBody"/>
        <w:bidi w:val="0"/>
        <w:spacing w:before="240" w:after="283"/>
        <w:jc w:val="both"/>
        <w:rPr/>
      </w:pPr>
      <w:r>
        <w:rPr>
          <w:color w:val="000000"/>
        </w:rPr>
        <w:t>“</w:t>
      </w:r>
      <w:r>
        <w:rPr>
          <w:rFonts w:ascii="Times New Roman" w:hAnsi="Times New Roman"/>
          <w:color w:val="000000"/>
          <w:sz w:val="24"/>
          <w:u w:val="single"/>
        </w:rPr>
        <w:t>Trading Day</w:t>
      </w:r>
      <w:r>
        <w:rPr>
          <w:rFonts w:ascii="Times New Roman" w:hAnsi="Times New Roman"/>
          <w:color w:val="000000"/>
          <w:sz w:val="20"/>
        </w:rPr>
        <w:t xml:space="preserve">” </w:t>
      </w:r>
      <w:r>
        <w:rPr>
          <w:rFonts w:ascii="Times New Roman" w:hAnsi="Times New Roman"/>
          <w:color w:val="000000"/>
          <w:sz w:val="24"/>
        </w:rPr>
        <w:t>means a day on which the principal Trading Market is open for trading.</w:t>
      </w:r>
    </w:p>
    <w:p>
      <w:pPr>
        <w:pStyle w:val="TextBody"/>
        <w:bidi w:val="0"/>
        <w:spacing w:before="240" w:after="283"/>
        <w:jc w:val="both"/>
        <w:rPr/>
      </w:pPr>
      <w:r>
        <w:rPr>
          <w:color w:val="000000"/>
        </w:rPr>
        <w:t>“</w:t>
      </w:r>
      <w:r>
        <w:rPr>
          <w:rFonts w:ascii="Times New Roman" w:hAnsi="Times New Roman"/>
          <w:color w:val="000000"/>
          <w:sz w:val="24"/>
          <w:u w:val="single"/>
        </w:rPr>
        <w:t>Trading Market</w:t>
      </w:r>
      <w:r>
        <w:rPr>
          <w:rFonts w:ascii="Times New Roman" w:hAnsi="Times New Roman"/>
          <w:color w:val="000000"/>
          <w:sz w:val="20"/>
        </w:rPr>
        <w:t xml:space="preserve">” </w:t>
      </w:r>
      <w:r>
        <w:rPr>
          <w:rFonts w:ascii="Times New Roman" w:hAnsi="Times New Roman"/>
          <w:color w:val="000000"/>
          <w:sz w:val="24"/>
        </w:rPr>
        <w:t>means any of the following markets or exchanges on which the Common Stock is listed or quoted for trading on the date in question: the NYSE American, the Nasdaq Capital Market, the Nasdaq Global Market, the Nasdaq Global Select Market, the New York Stock Exchange, the OTCQB or the OTCQX (or any successors to any of the foregoing).</w:t>
      </w:r>
    </w:p>
    <w:p>
      <w:pPr>
        <w:pStyle w:val="TextBody"/>
        <w:bidi w:val="0"/>
        <w:spacing w:before="240" w:after="283"/>
        <w:jc w:val="both"/>
        <w:rPr/>
      </w:pPr>
      <w:r>
        <w:rPr>
          <w:color w:val="000000"/>
        </w:rPr>
        <w:t>“</w:t>
      </w:r>
      <w:r>
        <w:rPr>
          <w:rFonts w:ascii="Times New Roman" w:hAnsi="Times New Roman"/>
          <w:color w:val="000000"/>
          <w:sz w:val="24"/>
          <w:u w:val="single"/>
        </w:rPr>
        <w:t>VWAP</w:t>
      </w:r>
      <w:r>
        <w:rPr>
          <w:rFonts w:ascii="Times New Roman" w:hAnsi="Times New Roman"/>
          <w:color w:val="000000"/>
          <w:sz w:val="20"/>
        </w:rPr>
        <w:t xml:space="preserve">” </w:t>
      </w:r>
      <w:r>
        <w:rPr>
          <w:rFonts w:ascii="Times New Roman" w:hAnsi="Times New Roman"/>
          <w:color w:val="000000"/>
          <w:sz w:val="24"/>
        </w:rPr>
        <w:t>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4:00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Open Market (or a similar organization or agency succeeding to its functions of reporting prices), the most recent bid price per share of the Common Stock so reported, or (d) in all other cases, the fair market value of a share of Common Stock as determined by the Board of Directors of the Company in good faith.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Mechanics of Exercise</w:t>
      </w:r>
      <w:r>
        <w:rPr>
          <w:rFonts w:ascii="Times New Roman" w:hAnsi="Times New Roman"/>
          <w:color w:val="FF0000"/>
          <w:sz w:val="24"/>
          <w:u w:val="single"/>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u w:val="single"/>
        </w:rPr>
        <w:t>Delivery of Warrant Shares Upon Exercise.</w:t>
      </w:r>
      <w:r>
        <w:rPr>
          <w:color w:val="000000"/>
        </w:rPr>
        <w:t xml:space="preserve"> </w:t>
      </w:r>
      <w:r>
        <w:rPr>
          <w:rFonts w:ascii="Times New Roman" w:hAnsi="Times New Roman"/>
          <w:color w:val="000000"/>
          <w:sz w:val="24"/>
        </w:rPr>
        <w:t>The Company shall cause the Warrant Shares purchased hereunder to be delivered by the Transfer Agent to the Holder by crediting the account of the Holder’s or its designee’s balance account with The Depository Trust Company through its Deposit or Withdrawal at Custodian system (“</w:t>
      </w:r>
      <w:r>
        <w:rPr>
          <w:rFonts w:ascii="Times New Roman" w:hAnsi="Times New Roman"/>
          <w:color w:val="000000"/>
          <w:sz w:val="24"/>
          <w:u w:val="single"/>
        </w:rPr>
        <w:t>DWAC</w:t>
      </w:r>
      <w:r>
        <w:rPr>
          <w:color w:val="000000"/>
        </w:rPr>
        <w:t>”</w:t>
      </w:r>
      <w:r>
        <w:rPr>
          <w:rFonts w:ascii="Times New Roman" w:hAnsi="Times New Roman"/>
          <w:color w:val="000000"/>
          <w:sz w:val="24"/>
        </w:rPr>
        <w:t xml:space="preserve">) if the Company is then a participant in such system and either (A) there is an effective registration statement permitting the issuance of the Warrant Shares to the Holder or resale of the Warrant Shares (and a concurrent resale is being made) by the Holder or (B) the Warrant Shares are eligible for resale by the Holder without volume or manner-of-sale limitations pursuant to Rule 144 (assuming cashless exercise of the Warrants), in each case, subject to the delivery by the Holder to the Company and its counsel and the Transfer Agent of customary representation letters and such other documents as such person may request, and otherwise by physical delivery of a certificate or a book-entry notation,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4"/>
        </w:rPr>
        <w:t>registered in the Company’s share register in the name of the Holder or its designee, for the number of Warrant Shares to which the Holder is entitled pursuant to such exercise to the address specified by the Holder in the Notice of Exercise by the date that is the earliest of (i) one (1) Trading Day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hAnsi="Times New Roman"/>
          <w:color w:val="000000"/>
          <w:sz w:val="24"/>
          <w:u w:val="single"/>
        </w:rPr>
        <w:t>Warrant Share Delivery Date</w:t>
      </w:r>
      <w:r>
        <w:rPr>
          <w:color w:val="000000"/>
        </w:rPr>
        <w:t>”</w:t>
      </w:r>
      <w:r>
        <w:rPr>
          <w:rFonts w:ascii="Times New Roman" w:hAnsi="Times New Roman"/>
          <w:color w:val="000000"/>
          <w:sz w:val="24"/>
        </w:rPr>
        <w:t>). Upon delivery of the Notice of Exercise to the Company,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to the Company.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hAnsi="Times New Roman"/>
          <w:color w:val="000000"/>
          <w:sz w:val="24"/>
          <w:u w:val="single"/>
        </w:rPr>
        <w:t>Standard Settlement Period</w:t>
      </w:r>
      <w:r>
        <w:rPr>
          <w:color w:val="000000"/>
        </w:rPr>
        <w:t xml:space="preserve">” </w:t>
      </w:r>
      <w:r>
        <w:rPr>
          <w:rFonts w:ascii="Times New Roman" w:hAnsi="Times New Roman"/>
          <w:color w:val="000000"/>
          <w:sz w:val="24"/>
        </w:rPr>
        <w:t>means the standard settlement period, expressed in a number of Trading Days, on the Company’s primary Trading Market with respect to the Common Stock as in effect on the date of delivery of the Notice of Exercise to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pPr>
      <w:r>
        <w:rPr>
          <w:rFonts w:ascii="Times New Roman" w:hAnsi="Times New Roman"/>
          <w:color w:val="000000"/>
          <w:sz w:val="24"/>
          <w:u w:val="single"/>
        </w:rPr>
        <w:t>Delivery of New Warrants Upon Exercise.</w:t>
      </w:r>
      <w:r>
        <w:rPr>
          <w:color w:val="000000"/>
        </w:rPr>
        <w:t xml:space="preserve"> </w:t>
      </w:r>
      <w:r>
        <w:rPr>
          <w:rFonts w:ascii="Times New Roman" w:hAnsi="Times New Roman"/>
          <w:color w:val="000000"/>
          <w:sz w:val="24"/>
        </w:rPr>
        <w:t>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pPr>
      <w:r>
        <w:rPr>
          <w:rFonts w:ascii="Times New Roman" w:hAnsi="Times New Roman"/>
          <w:color w:val="000000"/>
          <w:sz w:val="24"/>
          <w:u w:val="single"/>
        </w:rPr>
        <w:t>Rescission Rights</w:t>
      </w:r>
      <w:r>
        <w:rPr>
          <w:rFonts w:ascii="Times New Roman" w:hAnsi="Times New Roman"/>
          <w:color w:val="000000"/>
          <w:sz w:val="24"/>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pPr>
      <w:r>
        <w:rPr>
          <w:rFonts w:ascii="Times New Roman" w:hAnsi="Times New Roman"/>
          <w:color w:val="000000"/>
          <w:sz w:val="24"/>
          <w:u w:val="single"/>
        </w:rPr>
        <w:t>No Fractional Shares or Scrip</w:t>
      </w:r>
      <w:r>
        <w:rPr>
          <w:rFonts w:ascii="Times New Roman" w:hAnsi="Times New Roman"/>
          <w:color w:val="000000"/>
          <w:sz w:val="24"/>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40" w:after="283"/>
        <w:jc w:val="both"/>
        <w:rPr/>
      </w:pPr>
      <w:r>
        <w:rPr>
          <w:rFonts w:ascii="Times New Roman" w:hAnsi="Times New Roman"/>
          <w:color w:val="000000"/>
          <w:sz w:val="24"/>
          <w:u w:val="single"/>
        </w:rPr>
        <w:t>Charges, Taxes and Expenses.</w:t>
      </w:r>
      <w:r>
        <w:rPr>
          <w:color w:val="000000"/>
        </w:rPr>
        <w:t xml:space="preserve"> </w:t>
      </w:r>
      <w:r>
        <w:rPr>
          <w:rFonts w:ascii="Times New Roman" w:hAnsi="Times New Roman"/>
          <w:color w:val="000000"/>
          <w:sz w:val="24"/>
        </w:rPr>
        <w:t xml:space="preserve">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w:t>
      </w:r>
    </w:p>
    <w:p>
      <w:pPr>
        <w:pStyle w:val="TextBody"/>
        <w:bidi w:val="0"/>
        <w:spacing w:before="240" w:after="283"/>
        <w:jc w:val="both"/>
        <w:rPr/>
      </w:pPr>
      <w:r>
        <w:rPr>
          <w:rFonts w:ascii="Times New Roman" w:hAnsi="Times New Roman"/>
          <w:color w:val="000000"/>
          <w:sz w:val="24"/>
          <w:u w:val="single"/>
        </w:rPr>
        <w:t>Closing of Books.</w:t>
      </w:r>
      <w:r>
        <w:rPr>
          <w:color w:val="000000"/>
        </w:rPr>
        <w:t xml:space="preserve"> </w:t>
      </w:r>
      <w:r>
        <w:rPr>
          <w:rFonts w:ascii="Times New Roman" w:hAnsi="Times New Roman"/>
          <w:color w:val="000000"/>
          <w:sz w:val="24"/>
        </w:rPr>
        <w:t>The Company will not close its stockholder books or records in any manner which prevents the timely exercise of this Warrant, pursuant to the terms 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Holder’s Exercise Limitations.</w:t>
      </w:r>
      <w:r>
        <w:rPr>
          <w:color w:val="000000"/>
        </w:rPr>
        <w:t xml:space="preserve"> </w:t>
      </w:r>
      <w:r>
        <w:rPr>
          <w:rFonts w:ascii="Times New Roman" w:hAnsi="Times New Roman"/>
          <w:color w:val="000000"/>
          <w:sz w:val="24"/>
        </w:rPr>
        <w:t>The Company shall not effect any exercise of this Warrant, and a Holder shall not have the right to exercise any portion of this Warrant, pursuant to Section 1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hAnsi="Times New Roman"/>
          <w:color w:val="000000"/>
          <w:sz w:val="24"/>
          <w:u w:val="single"/>
        </w:rPr>
        <w:t>Attribution Parties</w:t>
      </w:r>
      <w:r>
        <w:rPr>
          <w:color w:val="000000"/>
        </w:rPr>
        <w:t>”</w:t>
      </w:r>
      <w:r>
        <w:rPr>
          <w:rFonts w:ascii="Times New Roman" w:hAnsi="Times New Roman"/>
          <w:color w:val="000000"/>
          <w:sz w:val="24"/>
        </w:rPr>
        <w:t xml:space="preserve">)),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subject to a limitation on conversion or exercise analogous to the limitation contained herein beneficially owned by the Holder or any of its Affiliates or Attribution Parties. Except as set forth in the preceding sentence, for purposes of this Section 1(e),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1(e) applies, the determination of whether this Warrant is exercisable (in relation to other securities owned by the Holder together with any Affiliates and Attribution Parties) and of which portion of this Warrant is exercisable shall be in the sole discretion of the Holder, and the Holder’s submission of a Notice of Exercise to the Company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absent manifest error, the Company shall have no obligation to verify or confirm the accuracy of such determination. In addition, a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4"/>
        </w:rPr>
        <w:t>determination as to any group status as contemplated above shall be determined in accordance with Section 13(d) of the Exchange Act and the rules and regulations promulgated thereunder. For purposes of this Section 1(e),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As used herein, “</w:t>
      </w:r>
      <w:r>
        <w:rPr>
          <w:rFonts w:ascii="Times New Roman" w:hAnsi="Times New Roman"/>
          <w:color w:val="000000"/>
          <w:sz w:val="24"/>
          <w:u w:val="single"/>
        </w:rPr>
        <w:t>Affiliate</w:t>
      </w:r>
      <w:r>
        <w:rPr>
          <w:color w:val="000000"/>
        </w:rPr>
        <w:t xml:space="preserve">” </w:t>
      </w:r>
      <w:r>
        <w:rPr>
          <w:rFonts w:ascii="Times New Roman" w:hAnsi="Times New Roman"/>
          <w:color w:val="000000"/>
          <w:sz w:val="24"/>
        </w:rPr>
        <w:t>shall mean any Person directly or indirectly controlled by, controlling or under common control with, a Holder, as such terms are used in and construed under Rule 405 under the Securities Act, but only for so long as such control shall continue. The “</w:t>
      </w:r>
      <w:r>
        <w:rPr>
          <w:rFonts w:ascii="Times New Roman" w:hAnsi="Times New Roman"/>
          <w:color w:val="000000"/>
          <w:sz w:val="24"/>
          <w:u w:val="single"/>
        </w:rPr>
        <w:t>Beneficial Ownership Limitation</w:t>
      </w:r>
      <w:r>
        <w:rPr>
          <w:color w:val="000000"/>
        </w:rPr>
        <w:t xml:space="preserve">” </w:t>
      </w:r>
      <w:r>
        <w:rPr>
          <w:rFonts w:ascii="Times New Roman" w:hAnsi="Times New Roman"/>
          <w:color w:val="000000"/>
          <w:sz w:val="24"/>
        </w:rPr>
        <w:t>shall be 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1(e), provided that the Beneficial Ownership Limitation in no event exceeds 9.99% (19.99% in the case of a holder who beneficially owns more than 9.99% of our common stock immediately prior to the issue date) of the number of shares of the Common Stock outstanding immediately after giving effect to the issuance of shares of Common Stock upon exercise of this Warrant held by the Holder and the provisions of this Section 1(e) shall continue to apply. Any increase in the Beneficial Ownership Limitation will not be effective until the 61</w:t>
      </w:r>
      <w:r>
        <w:rPr>
          <w:rFonts w:ascii="Times New Roman" w:hAnsi="Times New Roman"/>
          <w:color w:val="000000"/>
          <w:sz w:val="16"/>
        </w:rPr>
        <w:t>st</w:t>
      </w:r>
      <w:r>
        <w:rPr>
          <w:color w:val="000000"/>
        </w:rPr>
        <w:t xml:space="preserve"> </w:t>
      </w:r>
      <w:r>
        <w:rPr>
          <w:rFonts w:ascii="Times New Roman" w:hAnsi="Times New Roman"/>
          <w:color w:val="000000"/>
          <w:sz w:val="24"/>
        </w:rPr>
        <w:t>day after such notice is delivered to the Company. The provisions of this paragraph shall be construed and implemented in a manner otherwise than in strict conformity with the terms of this Section 1(e)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2. </w:t>
      </w:r>
      <w:r>
        <w:rPr>
          <w:rFonts w:ascii="Times New Roman" w:hAnsi="Times New Roman"/>
          <w:color w:val="000000"/>
          <w:sz w:val="24"/>
          <w:u w:val="single"/>
        </w:rPr>
        <w:t>Certain Adjustments</w:t>
      </w:r>
      <w:r>
        <w:rPr>
          <w:rFonts w:ascii="Times New Roman" w:hAnsi="Times New Roman"/>
          <w:color w:val="FF0000"/>
          <w:sz w:val="24"/>
          <w:u w:val="single"/>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Stock Dividends and Splits.</w:t>
      </w:r>
      <w:r>
        <w:rPr>
          <w:color w:val="000000"/>
        </w:rPr>
        <w:t xml:space="preserve"> </w:t>
      </w:r>
      <w:r>
        <w:rPr>
          <w:rFonts w:ascii="Times New Roman" w:hAnsi="Times New Roman"/>
          <w:color w:val="000000"/>
          <w:sz w:val="24"/>
        </w:rPr>
        <w:t xml:space="preserve">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exchange or conversion of the Warrants or any other warrant or exercisable, exchangeable or convertible securities, and shall not include Purchase Rights for which Section 3(b) shall apply or any distribution of assets for which Section 3(c) shall apply),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4"/>
        </w:rPr>
        <w:t>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2(a) shall become effective immediately after the record date for the determination of stockholders entitled to receive such dividend or distribution and shall become effective immediately after the effective date in the case of a subdivision, combination or re-classification.</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Subsequent Rights Offerings.</w:t>
      </w:r>
      <w:r>
        <w:rPr>
          <w:color w:val="000000"/>
        </w:rPr>
        <w:t xml:space="preserve"> </w:t>
      </w:r>
      <w:r>
        <w:rPr>
          <w:rFonts w:ascii="Times New Roman" w:hAnsi="Times New Roman"/>
          <w:color w:val="000000"/>
          <w:sz w:val="24"/>
        </w:rPr>
        <w:t>In addition to any adjustments pursuant to Section 2(a) above, if at any time the Company grants, issues or sells any Common Stock Equivalents or rights to purchase stock, warrants, securities or other property pro rata to the record holders of any class of shares of Common Stock (the “</w:t>
      </w:r>
      <w:r>
        <w:rPr>
          <w:rFonts w:ascii="Times New Roman" w:hAnsi="Times New Roman"/>
          <w:color w:val="000000"/>
          <w:sz w:val="24"/>
          <w:u w:val="single"/>
        </w:rPr>
        <w:t>Purchase Rights</w:t>
      </w:r>
      <w:r>
        <w:rPr>
          <w:color w:val="000000"/>
        </w:rPr>
        <w:t>”</w:t>
      </w:r>
      <w:r>
        <w:rPr>
          <w:rFonts w:ascii="Times New Roman" w:hAnsi="Times New Roman"/>
          <w:color w:val="000000"/>
          <w:sz w:val="24"/>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Pro Rata Distributions.</w:t>
      </w:r>
      <w:r>
        <w:rPr>
          <w:color w:val="000000"/>
        </w:rPr>
        <w:t xml:space="preserve"> </w:t>
      </w:r>
      <w:r>
        <w:rPr>
          <w:rFonts w:ascii="Times New Roman" w:hAnsi="Times New Roman"/>
          <w:color w:val="000000"/>
          <w:sz w:val="24"/>
        </w:rPr>
        <w:t>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hAnsi="Times New Roman"/>
          <w:color w:val="000000"/>
          <w:sz w:val="24"/>
          <w:u w:val="single"/>
        </w:rPr>
        <w:t>Distribution</w:t>
      </w:r>
      <w:r>
        <w:rPr>
          <w:color w:val="000000"/>
        </w:rPr>
        <w:t>”</w:t>
      </w:r>
      <w:r>
        <w:rPr>
          <w:rFonts w:ascii="Times New Roman" w:hAnsi="Times New Roman"/>
          <w:color w:val="000000"/>
          <w:sz w:val="24"/>
        </w:rPr>
        <w:t xml:space="preserve">),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Distribution shall be held in abeyance for the benefit of the Holder until the Holder has exercised this Warrant.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Fundamental Transaction.</w:t>
      </w:r>
      <w:r>
        <w:rPr>
          <w:color w:val="000000"/>
        </w:rPr>
        <w:t xml:space="preserve"> </w:t>
      </w:r>
      <w:r>
        <w:rPr>
          <w:rFonts w:ascii="Times New Roman" w:hAnsi="Times New Roman"/>
          <w:color w:val="000000"/>
          <w:sz w:val="24"/>
        </w:rPr>
        <w:t>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the assets of the Company and its Subsidiaries, taken as a whole,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 w:hAnsi="Times New Roman"/>
          <w:color w:val="000000"/>
          <w:sz w:val="24"/>
          <w:u w:val="single"/>
        </w:rPr>
        <w:t>Fundamental Transaction</w:t>
      </w:r>
      <w:r>
        <w:rPr>
          <w:color w:val="000000"/>
        </w:rPr>
        <w:t>”</w:t>
      </w:r>
      <w:r>
        <w:rPr>
          <w:rFonts w:ascii="Times New Roman" w:hAnsi="Times New Roman"/>
          <w:color w:val="000000"/>
          <w:sz w:val="24"/>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1(e) on the exercise of this Warrant), the number of shares of Common Stock of the successor or acquiring corporation or of the Company, if it is the surviving corporation, and any additional consideration (the “</w:t>
      </w:r>
      <w:r>
        <w:rPr>
          <w:rFonts w:ascii="Times New Roman" w:hAnsi="Times New Roman"/>
          <w:color w:val="000000"/>
          <w:sz w:val="24"/>
          <w:u w:val="single"/>
        </w:rPr>
        <w:t>Alternate Consideration</w:t>
      </w:r>
      <w:r>
        <w:rPr>
          <w:color w:val="000000"/>
        </w:rPr>
        <w:t>”</w:t>
      </w:r>
      <w:r>
        <w:rPr>
          <w:rFonts w:ascii="Times New Roman" w:hAnsi="Times New Roman"/>
          <w:color w:val="000000"/>
          <w:sz w:val="24"/>
        </w:rPr>
        <w:t xml:space="preserve">) receivable as a result of such Fundamental Transaction by a holder of the number of shares of Common Stock for which this Warrant is exercisable immediately prior to such Fundamental Transaction (without regard to any limitation in Section 1(e)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w:t>
      </w:r>
    </w:p>
    <w:p>
      <w:pPr>
        <w:pStyle w:val="TextBody"/>
        <w:bidi w:val="0"/>
        <w:spacing w:before="240" w:after="283"/>
        <w:jc w:val="both"/>
        <w:rPr>
          <w:rFonts w:ascii="Times New Roman" w:hAnsi="Times New Roman"/>
          <w:sz w:val="20"/>
        </w:rPr>
      </w:pPr>
      <w:r>
        <w:rPr>
          <w:rFonts w:ascii="Times New Roman" w:hAnsi="Times New Roman"/>
          <w:color w:val="000000"/>
          <w:sz w:val="24"/>
        </w:rPr>
        <w:t>The Company shall cause any successor entity in a Fundamental Transaction in which the Company is not the survivor (the “</w:t>
      </w:r>
      <w:r>
        <w:rPr>
          <w:rFonts w:ascii="Times New Roman" w:hAnsi="Times New Roman"/>
          <w:color w:val="000000"/>
          <w:sz w:val="24"/>
          <w:u w:val="single"/>
        </w:rPr>
        <w:t>Successor Entity</w:t>
      </w:r>
      <w:r>
        <w:rPr>
          <w:rFonts w:ascii="Times New Roman" w:hAnsi="Times New Roman"/>
          <w:color w:val="000000"/>
          <w:sz w:val="20"/>
        </w:rPr>
        <w:t>”</w:t>
      </w:r>
      <w:r>
        <w:rPr>
          <w:rFonts w:ascii="Times New Roman" w:hAnsi="Times New Roman"/>
          <w:color w:val="000000"/>
          <w:sz w:val="24"/>
        </w:rPr>
        <w:t>) to assume in writing all of the obligations of the Company under this Warrant and the other Transaction Documents in accordance with the provisions of this Section 2(d) pursuant to written agreements in form and substance reasonably satisfactory to the Holder and approved by the Holder (without unreasonable delay) prior to such Fundamental Transaction and shall, at the option of the Holder, deliver to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4"/>
        </w:rPr>
        <w:t>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Calculations</w:t>
      </w:r>
      <w:r>
        <w:rPr>
          <w:rFonts w:ascii="Times New Roman" w:hAnsi="Times New Roman"/>
          <w:color w:val="000000"/>
          <w:sz w:val="24"/>
        </w:rPr>
        <w:t>. All calculations under this Section 2 shall be made to the nearest cent or the nearest 1/100th of a share, as the case may be. For purposes of this Section 2, the number of shares of Common Stock deemed to be issued and outstanding as of a given date shall be the sum of the number of shares of Common Stock (excluding treasury shares, if any) issued and outstanding.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Notice to Holder.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u w:val="single"/>
        </w:rPr>
        <w:t>Adjustment to Exercise Price</w:t>
      </w:r>
      <w:r>
        <w:rPr>
          <w:rFonts w:ascii="Times New Roman" w:hAnsi="Times New Roman"/>
          <w:color w:val="000000"/>
          <w:sz w:val="24"/>
        </w:rPr>
        <w:t xml:space="preserve">. Whenever the Exercise Price is adjusted pursuant to any provision of this Section 2, the Company shall promptly deliver to the Holder by facsimile or email a notice setting forth the Exercise Price after such adjustment and any resulting adjustment to the number of Warrant Shares and setting forth a brief statement of the facts requiring such adjustment.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pPr>
      <w:r>
        <w:rPr>
          <w:rFonts w:ascii="Times New Roman" w:hAnsi="Times New Roman"/>
          <w:color w:val="000000"/>
          <w:sz w:val="24"/>
          <w:u w:val="single"/>
        </w:rPr>
        <w:t>Notice to Allow Exercise by Holder.</w:t>
      </w:r>
      <w:r>
        <w:rPr>
          <w:color w:val="000000"/>
        </w:rPr>
        <w:t xml:space="preserve"> </w:t>
      </w:r>
      <w:r>
        <w:rPr>
          <w:rFonts w:ascii="Times New Roman" w:hAnsi="Times New Roman"/>
          <w:color w:val="000000"/>
          <w:sz w:val="24"/>
        </w:rPr>
        <w:t xml:space="preserve">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(and all of its Subsidiaries, taken as a whole)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10 calendar days prior to the applicable record or effective date hereinafter specified, a notice stating (x) the date on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substantially simultaneously with the giving of such notice, disclose such information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rFonts w:ascii="Times New Roman" w:hAnsi="Times New Roman"/>
          <w:color w:val="000000"/>
          <w:sz w:val="24"/>
          <w:u w:val="single"/>
        </w:rPr>
        <w:t>Voluntary Adjustment By Company</w:t>
      </w:r>
      <w:r>
        <w:rPr>
          <w:rFonts w:ascii="Times New Roman" w:hAnsi="Times New Roman"/>
          <w:color w:val="000000"/>
          <w:sz w:val="24"/>
        </w:rPr>
        <w:t>. Subject to the rules and regulations of the Trading Market, the Company may at any time during the term of this Warrant, subject to the prior written consent of the Holder, reduce the then current Exercise Price to any amount and for any period of time deemed appropriate by the board of directors of the Company.</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3. </w:t>
      </w:r>
      <w:r>
        <w:rPr>
          <w:rFonts w:ascii="Times New Roman" w:hAnsi="Times New Roman"/>
          <w:color w:val="000000"/>
          <w:sz w:val="24"/>
          <w:u w:val="single"/>
        </w:rPr>
        <w:t>Transfer of Warrant</w:t>
      </w:r>
      <w:r>
        <w:rPr>
          <w:rFonts w:ascii="Times New Roman" w:hAnsi="Times New Roman"/>
          <w:color w:val="FF0000"/>
          <w:sz w:val="24"/>
          <w:u w:val="single"/>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Transferability.</w:t>
      </w:r>
      <w:r>
        <w:rPr>
          <w:color w:val="000000"/>
        </w:rPr>
        <w:t xml:space="preserve"> </w:t>
      </w:r>
      <w:r>
        <w:rPr>
          <w:rFonts w:ascii="Times New Roman" w:hAnsi="Times New Roman"/>
          <w:color w:val="000000"/>
          <w:sz w:val="24"/>
        </w:rPr>
        <w:t xml:space="preserve">Subject to compliance with any applicable securities laws and the conditions set forth in Section 3(d) hereof,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New Warrants</w:t>
      </w:r>
      <w:r>
        <w:rPr>
          <w:rFonts w:ascii="Times New Roman" w:hAnsi="Times New Roman"/>
          <w:color w:val="000000"/>
          <w:sz w:val="24"/>
        </w:rPr>
        <w:t xml:space="preserve">.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3(a),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Exercise Date and shall be identical with this Warrant except as to the number of Warrant Shares issuable pursuant thereto.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Warrant Register.</w:t>
      </w:r>
      <w:r>
        <w:rPr>
          <w:color w:val="000000"/>
        </w:rPr>
        <w:t xml:space="preserve"> </w:t>
      </w:r>
      <w:r>
        <w:rPr>
          <w:rFonts w:ascii="Times New Roman" w:hAnsi="Times New Roman"/>
          <w:color w:val="000000"/>
          <w:sz w:val="24"/>
        </w:rPr>
        <w:t>The Company shall register this Warrant, upon records to be maintained by the Company for that purpose (the “</w:t>
      </w:r>
      <w:r>
        <w:rPr>
          <w:rFonts w:ascii="Times New Roman" w:hAnsi="Times New Roman"/>
          <w:color w:val="000000"/>
          <w:sz w:val="24"/>
          <w:u w:val="single"/>
        </w:rPr>
        <w:t>Warrant Register</w:t>
      </w:r>
      <w:r>
        <w:rPr>
          <w:color w:val="000000"/>
        </w:rPr>
        <w:t>”</w:t>
      </w:r>
      <w:r>
        <w:rPr>
          <w:rFonts w:ascii="Times New Roman" w:hAnsi="Times New Roman"/>
          <w:color w:val="000000"/>
          <w:sz w:val="24"/>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Representation by the Holder.</w:t>
      </w:r>
      <w:r>
        <w:rPr>
          <w:color w:val="000000"/>
        </w:rPr>
        <w:t xml:space="preserve"> </w:t>
      </w:r>
      <w:r>
        <w:rPr>
          <w:rFonts w:ascii="Times New Roman" w:hAnsi="Times New Roman"/>
          <w:color w:val="000000"/>
          <w:sz w:val="24"/>
        </w:rPr>
        <w:t>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4. </w:t>
      </w:r>
      <w:r>
        <w:rPr>
          <w:rFonts w:ascii="Times New Roman" w:hAnsi="Times New Roman"/>
          <w:color w:val="000000"/>
          <w:sz w:val="24"/>
          <w:u w:val="single"/>
        </w:rPr>
        <w:t>Miscellaneous</w:t>
      </w:r>
      <w:r>
        <w:rPr>
          <w:rFonts w:ascii="Times New Roman" w:hAnsi="Times New Roman"/>
          <w:color w:val="FF0000"/>
          <w:sz w:val="24"/>
          <w:u w:val="single"/>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No Rights as Stockholder Until Exercise; No Settlement in Cash</w:t>
      </w:r>
      <w:r>
        <w:rPr>
          <w:rFonts w:ascii="Times New Roman" w:hAnsi="Times New Roman"/>
          <w:color w:val="000000"/>
          <w:sz w:val="24"/>
        </w:rPr>
        <w:t>. This Warrant does not entitle the Holder to any voting rights, dividends or other rights as a stockholder of the Company prior to the exercise hereof as set forth in Section 1(d)(i), except as expressly set forth in Section 3. Without limiting any rights of a Holder to receive Warrant Shares on a “cashless exercise” pursuant to Section 1(c) or to receive cash payments pursuant to Section 1(d)(i) and Section 1(d)(iv) herein, in no event shall the Company be required to net cash settle an exercise of this Warrant.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Loss, Theft, Destruction or Mutilation of Warrant</w:t>
      </w:r>
      <w:r>
        <w:rPr>
          <w:rFonts w:ascii="Times New Roman" w:hAnsi="Times New Roman"/>
          <w:color w:val="000000"/>
          <w:sz w:val="24"/>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Saturdays, Sundays, Holidays, etc</w:t>
      </w:r>
      <w:r>
        <w:rPr>
          <w:rFonts w:ascii="Times New Roman" w:hAnsi="Times New Roman"/>
          <w:color w:val="000000"/>
          <w:sz w:val="24"/>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Authorized Shares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Except and to the extent as waived or consented to by the Holder, the Company shall not take any action, including, without limitation, amending its certificate of incorporation or through any reorganization, transfer of assets, consolidation, merger, dissolution, issue or sale of securities or any other voluntary action, in order to avoid or seek to avoid the observance or performance of any of the terms of this Warrant, but will at all times in good faith assist in the carrying out of all such terms and in the taking of all such actions as may be necessary to carry out such terms.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Before taking any action which would result in an adjustment in the number of Warrant Shares for which this Warrant is exercisable or in the Exercise Price, the Company shall use commercially reasonable efforts to obtain all such authorizations or exemptions thereof, or consents thereto, as may be necessary from any public regulatory body or bodies having jurisdiction thereof.</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(e)</w:t>
      </w:r>
    </w:p>
    <w:p>
      <w:pPr>
        <w:pStyle w:val="TextBody"/>
        <w:bidi w:val="0"/>
        <w:spacing w:before="240" w:after="283"/>
        <w:jc w:val="both"/>
        <w:rPr/>
      </w:pPr>
      <w:r>
        <w:rPr>
          <w:rFonts w:ascii="Times New Roman" w:hAnsi="Times New Roman"/>
          <w:b/>
          <w:color w:val="000000"/>
          <w:sz w:val="24"/>
          <w:u w:val="single"/>
        </w:rPr>
        <w:t>Governing Law; Jurisdiction</w:t>
      </w:r>
      <w:r>
        <w:rPr>
          <w:rFonts w:ascii="Times New Roman" w:hAnsi="Times New Roman"/>
          <w:color w:val="000000"/>
          <w:sz w:val="24"/>
        </w:rPr>
        <w:t xml:space="preserve">. </w:t>
      </w:r>
      <w:r>
        <w:rPr>
          <w:rFonts w:ascii="Times New Roman" w:hAnsi="Times New Roman"/>
          <w:b/>
          <w:color w:val="000000"/>
          <w:sz w:val="24"/>
        </w:rPr>
        <w:t xml:space="preserve">ALL QUESTIONS CONCERNING THE CONSTRUCTION, VALIDITY, ENFORCEMENT AND INTERPRETATION OF THIS WARRANT SHALL BE GOVERNED BY AND CONSTRUED AND ENFORCED IN ACCORDANCE WITH THE LAWS OF THE STATE OF NEW YORK.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b/>
          <w:color w:val="000000"/>
          <w:sz w:val="24"/>
        </w:rPr>
        <w:t>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rFonts w:ascii="Times New Roman" w:hAnsi="Times New Roman"/>
          <w:color w:val="000000"/>
          <w:sz w:val="24"/>
          <w:u w:val="single"/>
        </w:rPr>
        <w:t>Restrictions</w:t>
      </w:r>
      <w:r>
        <w:rPr>
          <w:rFonts w:ascii="Times New Roman" w:hAnsi="Times New Roman"/>
          <w:color w:val="000000"/>
          <w:sz w:val="24"/>
        </w:rPr>
        <w:t>. The Holder acknowledges that the Warrant Shares acquired upon the exercise of this Warrant will have restrictions upon resale imposed by state and federal securities laws and will bear a restrictive legend, subject to Section 1(c) in the case of cashless exercise.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rFonts w:ascii="Times New Roman" w:hAnsi="Times New Roman"/>
          <w:color w:val="000000"/>
          <w:sz w:val="24"/>
          <w:u w:val="single"/>
        </w:rPr>
        <w:t>Nonwaiver and Expenses</w:t>
      </w:r>
      <w:r>
        <w:rPr>
          <w:rFonts w:ascii="Times New Roman" w:hAnsi="Times New Roman"/>
          <w:color w:val="000000"/>
          <w:sz w:val="24"/>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and documented out of pocket external attorneys’ fees of one counsel, including those of appellate proceedings, incurred by the Holder in collecting any amounts due pursuant hereto or in otherwise enforcing any of its rights, powers or remedies 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pPr>
      <w:r>
        <w:rPr>
          <w:rFonts w:ascii="Times New Roman" w:hAnsi="Times New Roman"/>
          <w:color w:val="000000"/>
          <w:sz w:val="24"/>
          <w:u w:val="single"/>
        </w:rPr>
        <w:t>Notices</w:t>
      </w:r>
      <w:r>
        <w:rPr>
          <w:rFonts w:ascii="Times New Roman" w:hAnsi="Times New Roman"/>
          <w:color w:val="000000"/>
          <w:sz w:val="24"/>
        </w:rPr>
        <w:t>. Any and all notices or other communications or deliveries hereunder (including, without limitation, any Exercise Notice) shall be in writing and shall be deemed given and effective on the earliest of (i) the date of transmission, if such notice or communication is delivered confirmed e-mail at the e-mail address specified by the Company prior to 5:30 P.M., New York City time, on a Trading Day, (ii) the next Trading Day after the date of transmission, if such notice or communication is delivered via confirmed e-mail at the e-mail address specified by the Company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u w:val="single"/>
        </w:rPr>
        <w:t>Limitation of Liability</w:t>
      </w:r>
      <w:r>
        <w:rPr>
          <w:rFonts w:ascii="Times New Roman" w:hAnsi="Times New Roman"/>
          <w:color w:val="000000"/>
          <w:sz w:val="24"/>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both"/>
        <w:rPr/>
      </w:pPr>
      <w:r>
        <w:rPr>
          <w:rFonts w:ascii="Times New Roman" w:hAnsi="Times New Roman"/>
          <w:color w:val="000000"/>
          <w:sz w:val="24"/>
          <w:u w:val="single"/>
        </w:rPr>
        <w:t>Remedies</w:t>
      </w:r>
      <w:r>
        <w:rPr>
          <w:rFonts w:ascii="Times New Roman" w:hAnsi="Times New Roman"/>
          <w:color w:val="000000"/>
          <w:sz w:val="24"/>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240" w:after="283"/>
        <w:jc w:val="both"/>
        <w:rPr/>
      </w:pPr>
      <w:r>
        <w:rPr>
          <w:rFonts w:ascii="Times New Roman" w:hAnsi="Times New Roman"/>
          <w:color w:val="000000"/>
          <w:sz w:val="24"/>
          <w:u w:val="single"/>
        </w:rPr>
        <w:t>Successors and Assigns</w:t>
      </w:r>
      <w:r>
        <w:rPr>
          <w:rFonts w:ascii="Times New Roman" w:hAnsi="Times New Roman"/>
          <w:color w:val="000000"/>
          <w:sz w:val="24"/>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w:t>
      </w:r>
    </w:p>
    <w:p>
      <w:pPr>
        <w:pStyle w:val="TextBody"/>
        <w:bidi w:val="0"/>
        <w:spacing w:before="240" w:after="283"/>
        <w:jc w:val="both"/>
        <w:rPr/>
      </w:pPr>
      <w:r>
        <w:rPr>
          <w:rFonts w:ascii="Times New Roman" w:hAnsi="Times New Roman"/>
          <w:color w:val="000000"/>
          <w:sz w:val="24"/>
          <w:u w:val="single"/>
        </w:rPr>
        <w:t>Amendment</w:t>
      </w:r>
      <w:r>
        <w:rPr>
          <w:rFonts w:ascii="Times New Roman" w:hAnsi="Times New Roman"/>
          <w:color w:val="000000"/>
          <w:sz w:val="24"/>
        </w:rPr>
        <w:t>. This Warrant may be modified or amended or the provisions hereof waived with the written consent of the Company and the Holder.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w:t>
      </w:r>
    </w:p>
    <w:p>
      <w:pPr>
        <w:pStyle w:val="TextBody"/>
        <w:bidi w:val="0"/>
        <w:spacing w:before="240" w:after="283"/>
        <w:jc w:val="both"/>
        <w:rPr/>
      </w:pPr>
      <w:r>
        <w:rPr>
          <w:rFonts w:ascii="Times New Roman" w:hAnsi="Times New Roman"/>
          <w:color w:val="000000"/>
          <w:sz w:val="24"/>
          <w:u w:val="single"/>
        </w:rPr>
        <w:t>Severability</w:t>
      </w:r>
      <w:r>
        <w:rPr>
          <w:rFonts w:ascii="Times New Roman" w:hAnsi="Times New Roman"/>
          <w:color w:val="000000"/>
          <w:sz w:val="24"/>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w:t>
      </w:r>
    </w:p>
    <w:p>
      <w:pPr>
        <w:pStyle w:val="TextBody"/>
        <w:bidi w:val="0"/>
        <w:spacing w:before="240" w:after="283"/>
        <w:jc w:val="both"/>
        <w:rPr/>
      </w:pPr>
      <w:r>
        <w:rPr>
          <w:rFonts w:ascii="Times New Roman" w:hAnsi="Times New Roman"/>
          <w:color w:val="000000"/>
          <w:sz w:val="24"/>
          <w:u w:val="single"/>
        </w:rPr>
        <w:t>Headings</w:t>
      </w:r>
      <w:r>
        <w:rPr>
          <w:rFonts w:ascii="Times New Roman" w:hAnsi="Times New Roman"/>
          <w:color w:val="000000"/>
          <w:sz w:val="24"/>
        </w:rPr>
        <w:t>. The headings used in this Warrant are for the convenience of reference only and shall not, for any purpose, be deemed a part of this Warrant.</w:t>
      </w:r>
    </w:p>
    <w:p>
      <w:pPr>
        <w:pStyle w:val="TextBody"/>
        <w:bidi w:val="0"/>
        <w:spacing w:before="240" w:after="283"/>
        <w:jc w:val="center"/>
        <w:rPr>
          <w:rFonts w:ascii="Times New Roman" w:hAnsi="Times New Roman"/>
          <w:color w:val="000000"/>
          <w:sz w:val="24"/>
        </w:rPr>
      </w:pPr>
      <w:bookmarkStart w:id="32" w:name="sty_hc_01"/>
      <w:bookmarkEnd w:id="32"/>
      <w:r>
        <w:rPr>
          <w:rFonts w:ascii="Times New Roman" w:hAnsi="Times New Roman"/>
          <w:color w:val="000000"/>
          <w:sz w:val="24"/>
        </w:rPr>
        <w:t>********************</w:t>
      </w:r>
    </w:p>
    <w:p>
      <w:pPr>
        <w:pStyle w:val="TextBody"/>
        <w:bidi w:val="0"/>
        <w:spacing w:before="240" w:after="283"/>
        <w:jc w:val="center"/>
        <w:rPr>
          <w:rFonts w:ascii="Times New Roman" w:hAnsi="Times New Roman"/>
          <w:i/>
          <w:color w:val="000000"/>
          <w:sz w:val="24"/>
        </w:rPr>
      </w:pPr>
      <w:bookmarkStart w:id="33" w:name="sty_hlbi_01"/>
      <w:bookmarkEnd w:id="33"/>
      <w:r>
        <w:rPr>
          <w:rFonts w:ascii="Times New Roman" w:hAnsi="Times New Roman"/>
          <w:i/>
          <w:color w:val="000000"/>
          <w:sz w:val="24"/>
        </w:rPr>
        <w:t>(Signature Page Follows)</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IN WITNESS WHEREOF, the Company has caused this Warrant to be executed by its officer thereunto duly authorized as of the date first above indicated.</w:t>
      </w:r>
    </w:p>
    <w:p>
      <w:pPr>
        <w:pStyle w:val="TextBody"/>
        <w:bidi w:val="0"/>
        <w:jc w:val="left"/>
        <w:rPr/>
      </w:pPr>
      <w:r>
        <w:rPr/>
        <w:t> </w:t>
      </w:r>
    </w:p>
    <w:p>
      <w:pPr>
        <w:pStyle w:val="TextBody"/>
        <w:bidi w:val="0"/>
        <w:jc w:val="left"/>
        <w:rPr/>
      </w:pPr>
      <w:r>
        <w:rPr/>
        <w:t> </w:t>
      </w:r>
    </w:p>
    <w:tbl>
      <w:tblPr>
        <w:tblW w:w="3221" w:type="dxa"/>
        <w:jc w:val="left"/>
        <w:tblInd w:w="0" w:type="dxa"/>
        <w:tblLayout w:type="fixed"/>
        <w:tblCellMar>
          <w:top w:w="28" w:type="dxa"/>
          <w:left w:w="28" w:type="dxa"/>
          <w:bottom w:w="28" w:type="dxa"/>
          <w:right w:w="28" w:type="dxa"/>
        </w:tblCellMar>
      </w:tblPr>
      <w:tblGrid>
        <w:gridCol w:w="161"/>
        <w:gridCol w:w="1076"/>
        <w:gridCol w:w="1984"/>
      </w:tblGrid>
      <w:tr>
        <w:trPr/>
        <w:tc>
          <w:tcPr>
            <w:tcW w:w="16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ASSEMBLY BIOSCIENCES,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0"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0"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198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r>
    </w:tbl>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NOTICE OF EXERCISE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Assembly Biosciences, Inc.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Payment shall take the form of (check applicable box):</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 in lawful money of the United States;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 if permitted the cancellation of such number of Warrant Shares as is necessary, in accordance with the formula set forth in subsection 1(c), to exercise this Warrant with respect to the maximum number of Warrant Shares purchasable pursuant to the cashless exercise procedure set forth in subsection 1(c).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Please issue said Warrant Shares in the name of the undersigned or in such other name as is specified below:</w:t>
      </w:r>
    </w:p>
    <w:p>
      <w:pPr>
        <w:pStyle w:val="TextBody"/>
        <w:pBdr>
          <w:bottom w:val="single" w:sz="6" w:space="1" w:color="000000"/>
        </w:pBdr>
        <w:bidi w:val="0"/>
        <w:spacing w:before="240" w:after="283"/>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Warrant Shares shall be delivered to the following DWAC Account Number:</w:t>
      </w:r>
    </w:p>
    <w:p>
      <w:pPr>
        <w:pStyle w:val="TextBody"/>
        <w:pBdr>
          <w:bottom w:val="single" w:sz="6" w:space="1" w:color="000000"/>
        </w:pBdr>
        <w:bidi w:val="0"/>
        <w:jc w:val="left"/>
        <w:rPr/>
      </w:pPr>
      <w:r>
        <w:rPr/>
        <w:t> </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By its delivery of this Notice of Exercise, the undersigned represents and warrants to the Company that in giving effect to the exercise evidenced hereby the Holders will not beneficially own in excess of the number of shares of Common Stock permitted to be owned under Section 1(e) of the Warrant to which this notice relates.</w:t>
      </w:r>
    </w:p>
    <w:p>
      <w:pPr>
        <w:pStyle w:val="TextBody"/>
        <w:bidi w:val="0"/>
        <w:jc w:val="left"/>
        <w:rPr/>
      </w:pPr>
      <w:r>
        <w:rPr/>
        <w:t> </w:t>
      </w:r>
    </w:p>
    <w:tbl>
      <w:tblPr>
        <w:tblW w:w="5684" w:type="dxa"/>
        <w:jc w:val="left"/>
        <w:tblInd w:w="0" w:type="dxa"/>
        <w:tblLayout w:type="fixed"/>
        <w:tblCellMar>
          <w:top w:w="28" w:type="dxa"/>
          <w:left w:w="28" w:type="dxa"/>
          <w:bottom w:w="28" w:type="dxa"/>
          <w:right w:w="28" w:type="dxa"/>
        </w:tblCellMar>
      </w:tblPr>
      <w:tblGrid>
        <w:gridCol w:w="3262"/>
        <w:gridCol w:w="619"/>
        <w:gridCol w:w="431"/>
        <w:gridCol w:w="431"/>
        <w:gridCol w:w="431"/>
        <w:gridCol w:w="510"/>
      </w:tblGrid>
      <w:tr>
        <w:trPr/>
        <w:tc>
          <w:tcPr>
            <w:tcW w:w="326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5684" w:type="dxa"/>
            <w:gridSpan w:val="6"/>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[SIGNATURE OF HOLDER]</w:t>
            </w:r>
          </w:p>
        </w:tc>
      </w:tr>
      <w:tr>
        <w:trPr/>
        <w:tc>
          <w:tcPr>
            <w:tcW w:w="3881"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1803" w:type="dxa"/>
            <w:gridSpan w:val="4"/>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881"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of Investing Entity:</w:t>
            </w:r>
          </w:p>
        </w:tc>
        <w:tc>
          <w:tcPr>
            <w:tcW w:w="1803" w:type="dxa"/>
            <w:gridSpan w:val="4"/>
            <w:tcBorders>
              <w:bottom w:val="single" w:sz="4" w:space="0" w:color="000000"/>
            </w:tcBorders>
            <w:tcMar>
              <w:top w:w="0" w:type="dxa"/>
              <w:left w:w="0" w:type="dxa"/>
              <w:right w:w="0" w:type="dxa"/>
            </w:tcMar>
            <w:vAlign w:val="center"/>
          </w:tcPr>
          <w:p>
            <w:pPr>
              <w:pStyle w:val="TableContents"/>
              <w:bidi w:val="0"/>
              <w:spacing w:before="40" w:after="283"/>
              <w:jc w:val="left"/>
              <w:rPr/>
            </w:pPr>
            <w:r>
              <w:rPr/>
              <w:t> </w:t>
            </w:r>
          </w:p>
        </w:tc>
      </w:tr>
      <w:tr>
        <w:trPr/>
        <w:tc>
          <w:tcPr>
            <w:tcW w:w="5174" w:type="dxa"/>
            <w:gridSpan w:val="5"/>
            <w:tcBorders/>
            <w:tcMar>
              <w:top w:w="0" w:type="dxa"/>
              <w:left w:w="0" w:type="dxa"/>
              <w:bottom w:w="0" w:type="dxa"/>
              <w:right w:w="0" w:type="dxa"/>
            </w:tcMar>
            <w:vAlign w:val="center"/>
          </w:tcPr>
          <w:p>
            <w:pPr>
              <w:pStyle w:val="TableContents"/>
              <w:bidi w:val="0"/>
              <w:spacing w:before="40" w:after="283"/>
              <w:jc w:val="left"/>
              <w:rPr>
                <w:rFonts w:ascii="Times New Roman" w:hAnsi="Times New Roman"/>
                <w:sz w:val="24"/>
              </w:rPr>
            </w:pPr>
            <w:r>
              <w:rPr>
                <w:rFonts w:ascii="Times New Roman" w:hAnsi="Times New Roman"/>
                <w:i/>
                <w:color w:val="000000"/>
                <w:sz w:val="24"/>
              </w:rPr>
              <w:t>Signature of Authorized Signatory of Investing Entity</w:t>
            </w:r>
            <w:r>
              <w:rPr>
                <w:rFonts w:ascii="Times New Roman" w:hAnsi="Times New Roman"/>
                <w:color w:val="000000"/>
                <w:sz w:val="24"/>
              </w:rPr>
              <w:t>:</w:t>
            </w:r>
          </w:p>
        </w:tc>
        <w:tc>
          <w:tcPr>
            <w:tcW w:w="510" w:type="dxa"/>
            <w:tcBorders>
              <w:bottom w:val="single" w:sz="4" w:space="0" w:color="000000"/>
            </w:tcBorders>
            <w:tcMar>
              <w:top w:w="0" w:type="dxa"/>
              <w:left w:w="0" w:type="dxa"/>
              <w:right w:w="0" w:type="dxa"/>
            </w:tcMar>
            <w:vAlign w:val="center"/>
          </w:tcPr>
          <w:p>
            <w:pPr>
              <w:pStyle w:val="TableContents"/>
              <w:bidi w:val="0"/>
              <w:spacing w:before="40" w:after="283"/>
              <w:jc w:val="left"/>
              <w:rPr/>
            </w:pPr>
            <w:r>
              <w:rPr/>
              <w:t> </w:t>
            </w:r>
          </w:p>
        </w:tc>
      </w:tr>
      <w:tr>
        <w:trPr/>
        <w:tc>
          <w:tcPr>
            <w:tcW w:w="4743" w:type="dxa"/>
            <w:gridSpan w:val="4"/>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Name of Authorized Signatory:</w:t>
            </w:r>
          </w:p>
        </w:tc>
        <w:tc>
          <w:tcPr>
            <w:tcW w:w="941" w:type="dxa"/>
            <w:gridSpan w:val="2"/>
            <w:tcBorders>
              <w:bottom w:val="single" w:sz="4" w:space="0" w:color="000000"/>
            </w:tcBorders>
            <w:tcMar>
              <w:top w:w="0" w:type="dxa"/>
              <w:left w:w="0" w:type="dxa"/>
              <w:right w:w="0" w:type="dxa"/>
            </w:tcMar>
            <w:vAlign w:val="center"/>
          </w:tcPr>
          <w:p>
            <w:pPr>
              <w:pStyle w:val="TableContents"/>
              <w:bidi w:val="0"/>
              <w:spacing w:before="40" w:after="283"/>
              <w:jc w:val="left"/>
              <w:rPr/>
            </w:pPr>
            <w:r>
              <w:rPr/>
              <w:t> </w:t>
            </w:r>
          </w:p>
        </w:tc>
      </w:tr>
      <w:tr>
        <w:trPr/>
        <w:tc>
          <w:tcPr>
            <w:tcW w:w="4312" w:type="dxa"/>
            <w:gridSpan w:val="3"/>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Title of Authorized Signatory:</w:t>
            </w:r>
          </w:p>
        </w:tc>
        <w:tc>
          <w:tcPr>
            <w:tcW w:w="1372" w:type="dxa"/>
            <w:gridSpan w:val="3"/>
            <w:tcBorders>
              <w:bottom w:val="single" w:sz="4" w:space="0" w:color="000000"/>
            </w:tcBorders>
            <w:tcMar>
              <w:top w:w="0" w:type="dxa"/>
              <w:left w:w="0" w:type="dxa"/>
              <w:right w:w="0" w:type="dxa"/>
            </w:tcMar>
            <w:vAlign w:val="center"/>
          </w:tcPr>
          <w:p>
            <w:pPr>
              <w:pStyle w:val="TableContents"/>
              <w:bidi w:val="0"/>
              <w:spacing w:before="40" w:after="283"/>
              <w:jc w:val="left"/>
              <w:rPr/>
            </w:pPr>
            <w:r>
              <w:rPr/>
              <w:t> </w:t>
            </w:r>
          </w:p>
        </w:tc>
      </w:tr>
      <w:tr>
        <w:trPr/>
        <w:tc>
          <w:tcPr>
            <w:tcW w:w="3262"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Date:</w:t>
            </w:r>
          </w:p>
        </w:tc>
        <w:tc>
          <w:tcPr>
            <w:tcW w:w="2422" w:type="dxa"/>
            <w:gridSpan w:val="5"/>
            <w:tcBorders>
              <w:bottom w:val="single" w:sz="4" w:space="0" w:color="000000"/>
            </w:tcBorders>
            <w:tcMar>
              <w:top w:w="0" w:type="dxa"/>
              <w:left w:w="0" w:type="dxa"/>
              <w:right w:w="0" w:type="dxa"/>
            </w:tcMar>
            <w:vAlign w:val="center"/>
          </w:tcPr>
          <w:p>
            <w:pPr>
              <w:pStyle w:val="TableContents"/>
              <w:bidi w:val="0"/>
              <w:spacing w:before="40" w:after="283"/>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ASSIGNMENT FORM</w:t>
      </w:r>
    </w:p>
    <w:p>
      <w:pPr>
        <w:pStyle w:val="TextBody"/>
        <w:bidi w:val="0"/>
        <w:spacing w:before="240" w:after="283"/>
        <w:jc w:val="center"/>
        <w:rPr>
          <w:rFonts w:ascii="Times New Roman" w:hAnsi="Times New Roman"/>
          <w:i/>
          <w:color w:val="000000"/>
          <w:sz w:val="24"/>
        </w:rPr>
      </w:pPr>
      <w:bookmarkStart w:id="34" w:name="sty_hli_01"/>
      <w:bookmarkEnd w:id="34"/>
      <w:r>
        <w:rPr>
          <w:rFonts w:ascii="Times New Roman" w:hAnsi="Times New Roman"/>
          <w:i/>
          <w:color w:val="000000"/>
          <w:sz w:val="24"/>
        </w:rPr>
        <w:t>(To assign the foregoing Warrant, execute this form and supply required information. Do not use this form to purchase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VALUE RECEIVED, the foregoing Warrant and all rights evidenced thereby are hereby assigned to</w:t>
      </w:r>
    </w:p>
    <w:p>
      <w:pPr>
        <w:pStyle w:val="TextBody"/>
        <w:bidi w:val="0"/>
        <w:jc w:val="left"/>
        <w:rPr/>
      </w:pPr>
      <w:r>
        <w:rPr/>
        <w:t> </w:t>
      </w:r>
    </w:p>
    <w:tbl>
      <w:tblPr>
        <w:tblW w:w="4745" w:type="dxa"/>
        <w:jc w:val="left"/>
        <w:tblInd w:w="0" w:type="dxa"/>
        <w:tblLayout w:type="fixed"/>
        <w:tblCellMar>
          <w:top w:w="28" w:type="dxa"/>
          <w:left w:w="28" w:type="dxa"/>
          <w:bottom w:w="28" w:type="dxa"/>
          <w:right w:w="28" w:type="dxa"/>
        </w:tblCellMar>
      </w:tblPr>
      <w:tblGrid>
        <w:gridCol w:w="1786"/>
        <w:gridCol w:w="203"/>
        <w:gridCol w:w="196"/>
        <w:gridCol w:w="109"/>
        <w:gridCol w:w="146"/>
        <w:gridCol w:w="146"/>
        <w:gridCol w:w="166"/>
        <w:gridCol w:w="146"/>
        <w:gridCol w:w="146"/>
        <w:gridCol w:w="146"/>
        <w:gridCol w:w="1555"/>
      </w:tblGrid>
      <w:tr>
        <w:trPr/>
        <w:tc>
          <w:tcPr>
            <w:tcW w:w="178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3044" w:type="dxa"/>
            <w:gridSpan w:val="9"/>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4"/>
              </w:rPr>
            </w:pPr>
            <w:r>
              <w:rPr>
                <w:rFonts w:ascii="Times New Roman" w:hAnsi="Times New Roman"/>
                <w:color w:val="000000"/>
                <w:sz w:val="24"/>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bottom w:val="single" w:sz="4" w:space="0" w:color="000000"/>
            </w:tcBorders>
            <w:tcMar>
              <w:top w:w="0" w:type="dxa"/>
              <w:left w:w="0" w:type="dxa"/>
              <w:right w:w="0" w:type="dxa"/>
            </w:tcMar>
            <w:vAlign w:val="center"/>
          </w:tcPr>
          <w:p>
            <w:pPr>
              <w:pStyle w:val="TableContents"/>
              <w:bidi w:val="0"/>
              <w:spacing w:before="0" w:after="283"/>
              <w:ind w:left="0" w:right="0" w:firstLine="144"/>
              <w:jc w:val="left"/>
              <w:rPr/>
            </w:pPr>
            <w:r>
              <w:rPr/>
              <w:t> </w:t>
            </w:r>
          </w:p>
        </w:tc>
      </w:tr>
      <w:tr>
        <w:trPr/>
        <w:tc>
          <w:tcPr>
            <w:tcW w:w="3044" w:type="dxa"/>
            <w:gridSpan w:val="9"/>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tcMar>
              <w:top w:w="0" w:type="dxa"/>
              <w:left w:w="0" w:type="dxa"/>
              <w:bottom w:w="0" w:type="dxa"/>
              <w:right w:w="0" w:type="dxa"/>
            </w:tcMar>
            <w:vAlign w:val="center"/>
          </w:tcPr>
          <w:p>
            <w:pPr>
              <w:pStyle w:val="TableContents"/>
              <w:bidi w:val="0"/>
              <w:spacing w:before="40" w:after="283"/>
              <w:ind w:left="0" w:right="0" w:firstLine="144"/>
              <w:jc w:val="left"/>
              <w:rPr>
                <w:rFonts w:ascii="Times New Roman" w:hAnsi="Times New Roman"/>
                <w:color w:val="000000"/>
                <w:sz w:val="24"/>
              </w:rPr>
            </w:pPr>
            <w:r>
              <w:rPr>
                <w:rFonts w:ascii="Times New Roman" w:hAnsi="Times New Roman"/>
                <w:color w:val="000000"/>
                <w:sz w:val="24"/>
              </w:rPr>
              <w:t>(Please Print)</w:t>
            </w:r>
          </w:p>
        </w:tc>
      </w:tr>
      <w:tr>
        <w:trPr/>
        <w:tc>
          <w:tcPr>
            <w:tcW w:w="3044" w:type="dxa"/>
            <w:gridSpan w:val="9"/>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3044" w:type="dxa"/>
            <w:gridSpan w:val="9"/>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4"/>
              </w:rPr>
            </w:pPr>
            <w:r>
              <w:rPr>
                <w:rFonts w:ascii="Times New Roman" w:hAnsi="Times New Roman"/>
                <w:color w:val="000000"/>
                <w:sz w:val="24"/>
              </w:rPr>
              <w:t>Address: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bottom w:val="single" w:sz="4" w:space="0" w:color="000000"/>
            </w:tcBorders>
            <w:tcMar>
              <w:top w:w="0" w:type="dxa"/>
              <w:left w:w="0" w:type="dxa"/>
              <w:right w:w="0" w:type="dxa"/>
            </w:tcMar>
            <w:vAlign w:val="center"/>
          </w:tcPr>
          <w:p>
            <w:pPr>
              <w:pStyle w:val="TableContents"/>
              <w:bidi w:val="0"/>
              <w:spacing w:before="0" w:after="283"/>
              <w:ind w:left="0" w:right="0" w:firstLine="144"/>
              <w:jc w:val="left"/>
              <w:rPr/>
            </w:pPr>
            <w:r>
              <w:rPr/>
              <w:t> </w:t>
            </w:r>
          </w:p>
        </w:tc>
      </w:tr>
      <w:tr>
        <w:trPr/>
        <w:tc>
          <w:tcPr>
            <w:tcW w:w="3044" w:type="dxa"/>
            <w:gridSpan w:val="9"/>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tcMar>
              <w:top w:w="0" w:type="dxa"/>
              <w:left w:w="0" w:type="dxa"/>
              <w:bottom w:w="0" w:type="dxa"/>
              <w:right w:w="0" w:type="dxa"/>
            </w:tcMar>
            <w:vAlign w:val="center"/>
          </w:tcPr>
          <w:p>
            <w:pPr>
              <w:pStyle w:val="TableContents"/>
              <w:bidi w:val="0"/>
              <w:spacing w:before="40" w:after="283"/>
              <w:ind w:left="0" w:right="0" w:firstLine="144"/>
              <w:jc w:val="left"/>
              <w:rPr>
                <w:rFonts w:ascii="Times New Roman" w:hAnsi="Times New Roman"/>
                <w:color w:val="000000"/>
                <w:sz w:val="24"/>
              </w:rPr>
            </w:pPr>
            <w:r>
              <w:rPr>
                <w:rFonts w:ascii="Times New Roman" w:hAnsi="Times New Roman"/>
                <w:color w:val="000000"/>
                <w:sz w:val="24"/>
              </w:rPr>
              <w:t>(Please Print)</w:t>
            </w:r>
          </w:p>
        </w:tc>
      </w:tr>
      <w:tr>
        <w:trPr/>
        <w:tc>
          <w:tcPr>
            <w:tcW w:w="3044" w:type="dxa"/>
            <w:gridSpan w:val="9"/>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3044" w:type="dxa"/>
            <w:gridSpan w:val="9"/>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4"/>
              </w:rPr>
            </w:pPr>
            <w:r>
              <w:rPr>
                <w:rFonts w:ascii="Times New Roman" w:hAnsi="Times New Roman"/>
                <w:color w:val="000000"/>
                <w:sz w:val="24"/>
              </w:rPr>
              <w:t>Phone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bottom w:val="single" w:sz="4" w:space="0" w:color="000000"/>
            </w:tcBorders>
            <w:tcMar>
              <w:top w:w="0" w:type="dxa"/>
              <w:left w:w="0" w:type="dxa"/>
              <w:right w:w="0" w:type="dxa"/>
            </w:tcMar>
            <w:vAlign w:val="center"/>
          </w:tcPr>
          <w:p>
            <w:pPr>
              <w:pStyle w:val="TableContents"/>
              <w:bidi w:val="0"/>
              <w:spacing w:before="0" w:after="283"/>
              <w:ind w:left="0" w:right="0" w:firstLine="144"/>
              <w:jc w:val="left"/>
              <w:rPr/>
            </w:pPr>
            <w:r>
              <w:rPr/>
              <w:t> </w:t>
            </w:r>
          </w:p>
        </w:tc>
      </w:tr>
      <w:tr>
        <w:trPr/>
        <w:tc>
          <w:tcPr>
            <w:tcW w:w="3044" w:type="dxa"/>
            <w:gridSpan w:val="9"/>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3044" w:type="dxa"/>
            <w:gridSpan w:val="9"/>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4"/>
              </w:rPr>
            </w:pPr>
            <w:r>
              <w:rPr>
                <w:rFonts w:ascii="Times New Roman" w:hAnsi="Times New Roman"/>
                <w:color w:val="000000"/>
                <w:sz w:val="24"/>
              </w:rPr>
              <w:t xml:space="preserve">Email Address: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bottom w:val="single" w:sz="4" w:space="0" w:color="000000"/>
            </w:tcBorders>
            <w:tcMar>
              <w:top w:w="0" w:type="dxa"/>
              <w:left w:w="0" w:type="dxa"/>
              <w:right w:w="0" w:type="dxa"/>
            </w:tcMar>
            <w:vAlign w:val="center"/>
          </w:tcPr>
          <w:p>
            <w:pPr>
              <w:pStyle w:val="TableContents"/>
              <w:bidi w:val="0"/>
              <w:spacing w:before="0" w:after="283"/>
              <w:ind w:left="0" w:right="0" w:firstLine="144"/>
              <w:jc w:val="left"/>
              <w:rPr/>
            </w:pPr>
            <w:r>
              <w:rPr/>
              <w:t> </w:t>
            </w:r>
          </w:p>
        </w:tc>
      </w:tr>
      <w:tr>
        <w:trPr/>
        <w:tc>
          <w:tcPr>
            <w:tcW w:w="3044" w:type="dxa"/>
            <w:gridSpan w:val="9"/>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4"/>
              </w:rPr>
            </w:pPr>
            <w:r>
              <w:rPr>
                <w:rFonts w:ascii="Times New Roman" w:hAnsi="Times New Roman"/>
                <w:color w:val="000000"/>
                <w:sz w:val="24"/>
              </w:rPr>
              <w:t xml:space="preserve">Dated: </w:t>
            </w:r>
          </w:p>
        </w:tc>
        <w:tc>
          <w:tcPr>
            <w:tcW w:w="50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3044" w:type="dxa"/>
            <w:gridSpan w:val="9"/>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2185" w:type="dxa"/>
            <w:gridSpan w:val="3"/>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4"/>
              </w:rPr>
            </w:pPr>
            <w:r>
              <w:rPr>
                <w:rFonts w:ascii="Times New Roman" w:hAnsi="Times New Roman"/>
                <w:color w:val="000000"/>
                <w:sz w:val="24"/>
              </w:rPr>
              <w:t>Holder’s Signature:</w:t>
            </w:r>
          </w:p>
        </w:tc>
        <w:tc>
          <w:tcPr>
            <w:tcW w:w="859"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5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3044" w:type="dxa"/>
            <w:gridSpan w:val="9"/>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1989" w:type="dxa"/>
            <w:gridSpan w:val="2"/>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4"/>
              </w:rPr>
            </w:pPr>
            <w:r>
              <w:rPr>
                <w:rFonts w:ascii="Times New Roman" w:hAnsi="Times New Roman"/>
                <w:color w:val="000000"/>
                <w:sz w:val="24"/>
              </w:rPr>
              <w:t>Holder’s Address:</w:t>
            </w:r>
          </w:p>
        </w:tc>
        <w:tc>
          <w:tcPr>
            <w:tcW w:w="1055" w:type="dxa"/>
            <w:gridSpan w:val="7"/>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5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35" w:name="sty_ht1_02"/>
      <w:bookmarkStart w:id="36" w:name="asmb-ex4_3.htm"/>
      <w:bookmarkStart w:id="37" w:name="ksasmbex4_3"/>
      <w:bookmarkEnd w:id="35"/>
      <w:bookmarkEnd w:id="36"/>
      <w:bookmarkEnd w:id="37"/>
      <w:r>
        <w:rPr>
          <w:rFonts w:ascii="Times New Roman" w:hAnsi="Times New Roman"/>
          <w:b/>
          <w:color w:val="000000"/>
          <w:sz w:val="24"/>
        </w:rPr>
        <w:t>Exhibit 4.3</w:t>
      </w:r>
      <w:r>
        <w:br w:type="page"/>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PRE-FUNDED WARRANT</w:t>
      </w:r>
    </w:p>
    <w:p>
      <w:pPr>
        <w:pStyle w:val="TextBody"/>
        <w:bidi w:val="0"/>
        <w:spacing w:before="240" w:after="283"/>
        <w:jc w:val="center"/>
        <w:rPr>
          <w:rFonts w:ascii="Times New Roman" w:hAnsi="Times New Roman"/>
          <w:b/>
          <w:color w:val="000000"/>
          <w:sz w:val="24"/>
        </w:rPr>
      </w:pPr>
      <w:bookmarkStart w:id="38" w:name="sty_ht1_12"/>
      <w:bookmarkEnd w:id="38"/>
      <w:r>
        <w:rPr>
          <w:rFonts w:ascii="Times New Roman" w:hAnsi="Times New Roman"/>
          <w:b/>
          <w:color w:val="000000"/>
          <w:sz w:val="24"/>
        </w:rPr>
        <w:t>ASSEMBLY BIOSCIENCES, INC.</w:t>
      </w:r>
    </w:p>
    <w:p>
      <w:pPr>
        <w:pStyle w:val="TextBody"/>
        <w:bidi w:val="0"/>
        <w:jc w:val="center"/>
        <w:rPr/>
      </w:pPr>
      <w:r>
        <w:rPr/>
        <w:t> </w:t>
      </w:r>
    </w:p>
    <w:tbl>
      <w:tblPr>
        <w:tblW w:w="5687" w:type="dxa"/>
        <w:jc w:val="left"/>
        <w:tblInd w:w="0" w:type="dxa"/>
        <w:tblLayout w:type="fixed"/>
        <w:tblCellMar>
          <w:top w:w="28" w:type="dxa"/>
          <w:left w:w="28" w:type="dxa"/>
          <w:bottom w:w="28" w:type="dxa"/>
          <w:right w:w="28" w:type="dxa"/>
        </w:tblCellMar>
      </w:tblPr>
      <w:tblGrid>
        <w:gridCol w:w="1906"/>
        <w:gridCol w:w="3781"/>
      </w:tblGrid>
      <w:tr>
        <w:trPr/>
        <w:tc>
          <w:tcPr>
            <w:tcW w:w="1906"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Warrant Shares: [ ]</w:t>
            </w:r>
          </w:p>
        </w:tc>
        <w:tc>
          <w:tcPr>
            <w:tcW w:w="3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Initial Exercise Date: August 11, 2025</w:t>
            </w:r>
          </w:p>
        </w:tc>
      </w:tr>
    </w:tbl>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4"/>
        </w:rPr>
        <w:t>THIS PRE-FUNDED WARRANT (the “</w:t>
      </w:r>
      <w:r>
        <w:rPr>
          <w:rFonts w:ascii="Times New Roman" w:hAnsi="Times New Roman"/>
          <w:color w:val="000000"/>
          <w:sz w:val="24"/>
          <w:u w:val="single"/>
        </w:rPr>
        <w:t>Warrant</w:t>
      </w:r>
      <w:r>
        <w:rPr>
          <w:rFonts w:ascii="Times New Roman" w:hAnsi="Times New Roman"/>
          <w:color w:val="000000"/>
          <w:sz w:val="20"/>
        </w:rPr>
        <w:t>”</w:t>
      </w:r>
      <w:r>
        <w:rPr>
          <w:rFonts w:ascii="Times New Roman" w:hAnsi="Times New Roman"/>
          <w:color w:val="000000"/>
          <w:sz w:val="24"/>
        </w:rPr>
        <w:t>) certifies that, for value received, [ ] or its assigns (the “</w:t>
      </w:r>
      <w:r>
        <w:rPr>
          <w:rFonts w:ascii="Times New Roman" w:hAnsi="Times New Roman"/>
          <w:color w:val="000000"/>
          <w:sz w:val="24"/>
          <w:u w:val="single"/>
        </w:rPr>
        <w:t>Holder</w:t>
      </w:r>
      <w:r>
        <w:rPr>
          <w:rFonts w:ascii="Times New Roman" w:hAnsi="Times New Roman"/>
          <w:color w:val="000000"/>
          <w:sz w:val="20"/>
        </w:rPr>
        <w:t>”</w:t>
      </w:r>
      <w:r>
        <w:rPr>
          <w:rFonts w:ascii="Times New Roman" w:hAnsi="Times New Roman"/>
          <w:color w:val="000000"/>
          <w:sz w:val="24"/>
        </w:rPr>
        <w:t>) is entitled, upon the terms and subject to the limitations on exercise and the conditions hereinafter set forth, at any time on or after the date hereof (the “</w:t>
      </w:r>
      <w:r>
        <w:rPr>
          <w:rFonts w:ascii="Times New Roman" w:hAnsi="Times New Roman"/>
          <w:color w:val="000000"/>
          <w:sz w:val="24"/>
          <w:u w:val="single"/>
        </w:rPr>
        <w:t>Initial Exercise Date</w:t>
      </w:r>
      <w:r>
        <w:rPr>
          <w:rFonts w:ascii="Times New Roman" w:hAnsi="Times New Roman"/>
          <w:color w:val="000000"/>
          <w:sz w:val="20"/>
        </w:rPr>
        <w:t>”</w:t>
      </w:r>
      <w:r>
        <w:rPr>
          <w:rFonts w:ascii="Times New Roman" w:hAnsi="Times New Roman"/>
          <w:color w:val="000000"/>
          <w:sz w:val="24"/>
        </w:rPr>
        <w:t>), to subscribe for and purchase from Assembly Biosciences,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up to [ ] shares (as subject to adjustment hereunder, the “</w:t>
      </w:r>
      <w:r>
        <w:rPr>
          <w:rFonts w:ascii="Times New Roman" w:hAnsi="Times New Roman"/>
          <w:color w:val="000000"/>
          <w:sz w:val="24"/>
          <w:u w:val="single"/>
        </w:rPr>
        <w:t>Warrant Shares</w:t>
      </w:r>
      <w:r>
        <w:rPr>
          <w:rFonts w:ascii="Times New Roman" w:hAnsi="Times New Roman"/>
          <w:color w:val="000000"/>
          <w:sz w:val="20"/>
        </w:rPr>
        <w:t>”</w:t>
      </w:r>
      <w:r>
        <w:rPr>
          <w:rFonts w:ascii="Times New Roman" w:hAnsi="Times New Roman"/>
          <w:color w:val="000000"/>
          <w:sz w:val="24"/>
        </w:rPr>
        <w:t>) of common stock, par value $0.001 per share, of the Company (the “</w:t>
      </w:r>
      <w:r>
        <w:rPr>
          <w:rFonts w:ascii="Times New Roman" w:hAnsi="Times New Roman"/>
          <w:color w:val="000000"/>
          <w:sz w:val="24"/>
          <w:u w:val="single"/>
        </w:rPr>
        <w:t>Common Stock</w:t>
      </w:r>
      <w:r>
        <w:rPr>
          <w:rFonts w:ascii="Times New Roman" w:hAnsi="Times New Roman"/>
          <w:color w:val="000000"/>
          <w:sz w:val="20"/>
        </w:rPr>
        <w:t>”</w:t>
      </w:r>
      <w:r>
        <w:rPr>
          <w:rFonts w:ascii="Times New Roman" w:hAnsi="Times New Roman"/>
          <w:color w:val="000000"/>
          <w:sz w:val="24"/>
        </w:rPr>
        <w:t>). The purchase price of one share of Common Stock under this Warrant shall be equal to $0.001.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total exercise price for the Warrant, except for a nominal Exercise Price (as defined below) of $0.001 per Warrant Share, was prefunded to the Company on or prior to the date hereof and, consequently, no additional consideration (other than the nominal Exercise Price) shall be required to be paid by the Holder to the Company to effect any exercise of this Warrant.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1. </w:t>
      </w:r>
      <w:r>
        <w:rPr>
          <w:rFonts w:ascii="Times New Roman" w:hAnsi="Times New Roman"/>
          <w:color w:val="000000"/>
          <w:sz w:val="24"/>
          <w:u w:val="single"/>
        </w:rPr>
        <w:t>Exercise</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Exercise of Warrant.</w:t>
      </w:r>
      <w:r>
        <w:rPr>
          <w:color w:val="000000"/>
        </w:rPr>
        <w:t xml:space="preserve"> </w:t>
      </w:r>
      <w:r>
        <w:rPr>
          <w:rFonts w:ascii="Times New Roman" w:hAnsi="Times New Roman"/>
          <w:color w:val="000000"/>
          <w:sz w:val="24"/>
        </w:rPr>
        <w:t>Exercise of the purchase rights represented by this Warrant may be made, in whole or in part, at any time or times on or after the Initial Exercise Date by delivery to the Company of a duly executed facsimile copy or PDF copy submitted by e-mail (or e-mail attachment) of the Notice of Exercise in the form annexed hereto (the “</w:t>
      </w:r>
      <w:r>
        <w:rPr>
          <w:rFonts w:ascii="Times New Roman" w:hAnsi="Times New Roman"/>
          <w:color w:val="000000"/>
          <w:sz w:val="24"/>
          <w:u w:val="single"/>
        </w:rPr>
        <w:t>Notice of Exercise</w:t>
      </w:r>
      <w:r>
        <w:rPr>
          <w:color w:val="000000"/>
        </w:rPr>
        <w:t>”</w:t>
      </w:r>
      <w:r>
        <w:rPr>
          <w:rFonts w:ascii="Times New Roman" w:hAnsi="Times New Roman"/>
          <w:color w:val="000000"/>
          <w:sz w:val="24"/>
        </w:rPr>
        <w:t xml:space="preserve">). Within the earlier of (i) one (1) Trading Day (as defined below) and (ii) the number of Trading Days comprising the Standard Settlement Period (as defined in Section 1(d)(i)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1(c)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its receipt of such notice. </w:t>
      </w:r>
      <w:r>
        <w:rPr>
          <w:rFonts w:ascii="Times New Roman" w:hAnsi="Times New Roman"/>
          <w:b/>
          <w:color w:val="000000"/>
          <w:sz w:val="24"/>
        </w:rPr>
        <w:t xml:space="preserve">The Holder and any assignee, by acceptance of this Warrant, acknowledge and agree that, by reason of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pPr>
      <w:r>
        <w:rPr>
          <w:rFonts w:ascii="Times New Roman" w:hAnsi="Times New Roman"/>
          <w:color w:val="000000"/>
          <w:sz w:val="24"/>
          <w:u w:val="single"/>
        </w:rPr>
        <w:t>Exercise Price</w:t>
      </w:r>
      <w:r>
        <w:rPr>
          <w:rFonts w:ascii="Times New Roman" w:hAnsi="Times New Roman"/>
          <w:color w:val="000000"/>
          <w:sz w:val="24"/>
        </w:rPr>
        <w:t>. The remaining unpaid exercise price of $0.001 per Warrant Share, subject to adjustment hereunder (the “</w:t>
      </w:r>
      <w:r>
        <w:rPr>
          <w:rFonts w:ascii="Times New Roman" w:hAnsi="Times New Roman"/>
          <w:color w:val="000000"/>
          <w:sz w:val="24"/>
          <w:u w:val="single"/>
        </w:rPr>
        <w:t>Exercise Price</w:t>
      </w:r>
      <w:r>
        <w:rPr>
          <w:color w:val="000000"/>
        </w:rPr>
        <w:t>”</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pPr>
      <w:r>
        <w:rPr>
          <w:rFonts w:ascii="Times New Roman" w:hAnsi="Times New Roman"/>
          <w:color w:val="000000"/>
          <w:sz w:val="24"/>
          <w:u w:val="single"/>
        </w:rPr>
        <w:t>Cashless Exercise</w:t>
      </w:r>
      <w:r>
        <w:rPr>
          <w:rFonts w:ascii="Times New Roman" w:hAnsi="Times New Roman"/>
          <w:color w:val="000000"/>
          <w:sz w:val="24"/>
        </w:rPr>
        <w:t>. If at the time of exercise of this Warrant there is no effective registration statement registering, or the prospectus contained therein is not available for, or an exemption from registration is not available for, the issuance of the Warrant Shares,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before="240" w:after="283"/>
        <w:jc w:val="both"/>
        <w:rPr>
          <w:rFonts w:ascii="Times New Roman" w:hAnsi="Times New Roman"/>
          <w:sz w:val="20"/>
        </w:rPr>
      </w:pPr>
      <w:r>
        <w:rPr>
          <w:rFonts w:ascii="Times New Roman" w:hAnsi="Times New Roman"/>
          <w:color w:val="000000"/>
          <w:sz w:val="24"/>
        </w:rPr>
        <w:t>(A) = as applicable: (i) the VWAP on the Trading Day immediately preceding the date of the applicable Notice of Exercise if such Notice of Exercise is (1) both executed and delivered pursuant to Section 1(a) hereof on a day that is not a Trading Day or (2) both executed and delivered pursuant to Section 1(a)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hAnsi="Times New Roman"/>
          <w:color w:val="000000"/>
          <w:sz w:val="24"/>
          <w:u w:val="single"/>
        </w:rPr>
        <w:t>Bloomberg</w:t>
      </w:r>
      <w:r>
        <w:rPr>
          <w:rFonts w:ascii="Times New Roman" w:hAnsi="Times New Roman"/>
          <w:color w:val="000000"/>
          <w:sz w:val="20"/>
        </w:rPr>
        <w:t>”</w:t>
      </w:r>
      <w:r>
        <w:rPr>
          <w:rFonts w:ascii="Times New Roman" w:hAnsi="Times New Roman"/>
          <w:color w:val="000000"/>
          <w:sz w:val="24"/>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1(a) hereof or (iii) the VWAP on the date of the applicable Notice of Exercise if the date of such Notice of Exercise is a Trading Day and such Notice of Exercise is both executed and delivered pursuant to Section 1(a) hereof after the close of “regular trading hours” on such Trading Day;</w:t>
      </w:r>
    </w:p>
    <w:p>
      <w:pPr>
        <w:pStyle w:val="TextBody"/>
        <w:bidi w:val="0"/>
        <w:spacing w:before="240" w:after="283"/>
        <w:jc w:val="both"/>
        <w:rPr>
          <w:rFonts w:ascii="Times New Roman" w:hAnsi="Times New Roman"/>
          <w:sz w:val="20"/>
        </w:rPr>
      </w:pPr>
      <w:r>
        <w:rPr>
          <w:rFonts w:ascii="Times New Roman" w:hAnsi="Times New Roman"/>
          <w:color w:val="000000"/>
          <w:sz w:val="24"/>
        </w:rPr>
        <w:t>(B) = the Exercise Price of this Warrant, as adjusted hereunder; and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 = the number of Warrant Shares that would be issuable upon exercise of this Warrant in accordance with the terms of this Warrant if such exercise were by means of a cash exercise rather than a cashless exercise.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by such Holder to the holding period of such Holder of this Warrant. The Company agrees not to take any position contrary to this paragraph.</w:t>
      </w:r>
    </w:p>
    <w:p>
      <w:pPr>
        <w:pStyle w:val="TextBody"/>
        <w:bidi w:val="0"/>
        <w:spacing w:before="240" w:after="283"/>
        <w:jc w:val="both"/>
        <w:rPr/>
      </w:pPr>
      <w:r>
        <w:rPr>
          <w:color w:val="000000"/>
        </w:rPr>
        <w:t>“</w:t>
      </w:r>
      <w:r>
        <w:rPr>
          <w:rFonts w:ascii="Times New Roman" w:hAnsi="Times New Roman"/>
          <w:color w:val="000000"/>
          <w:sz w:val="24"/>
          <w:u w:val="single"/>
        </w:rPr>
        <w:t>Bid Price</w:t>
      </w:r>
      <w:r>
        <w:rPr>
          <w:rFonts w:ascii="Times New Roman" w:hAnsi="Times New Roman"/>
          <w:color w:val="000000"/>
          <w:sz w:val="20"/>
        </w:rPr>
        <w:t xml:space="preserve">” </w:t>
      </w:r>
      <w:r>
        <w:rPr>
          <w:rFonts w:ascii="Times New Roman" w:hAnsi="Times New Roman"/>
          <w:color w:val="000000"/>
          <w:sz w:val="24"/>
        </w:rPr>
        <w:t>means, for any date, the price determined by the first of the following clauses that applies: (a) if the Common Stock is then listed or quoted on a Trading Market, the bid price of the Common Stock for the time in question (or the nearest preceding date) on the Trading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the Board of Directors of the Company in good faith.</w:t>
      </w:r>
    </w:p>
    <w:p>
      <w:pPr>
        <w:pStyle w:val="TextBody"/>
        <w:bidi w:val="0"/>
        <w:spacing w:before="240" w:after="283"/>
        <w:jc w:val="both"/>
        <w:rPr/>
      </w:pPr>
      <w:r>
        <w:rPr>
          <w:color w:val="000000"/>
        </w:rPr>
        <w:t>“</w:t>
      </w:r>
      <w:r>
        <w:rPr>
          <w:rFonts w:ascii="Times New Roman" w:hAnsi="Times New Roman"/>
          <w:color w:val="000000"/>
          <w:sz w:val="24"/>
          <w:u w:val="single"/>
        </w:rPr>
        <w:t>Trading Day</w:t>
      </w:r>
      <w:r>
        <w:rPr>
          <w:rFonts w:ascii="Times New Roman" w:hAnsi="Times New Roman"/>
          <w:color w:val="000000"/>
          <w:sz w:val="20"/>
        </w:rPr>
        <w:t xml:space="preserve">” </w:t>
      </w:r>
      <w:r>
        <w:rPr>
          <w:rFonts w:ascii="Times New Roman" w:hAnsi="Times New Roman"/>
          <w:color w:val="000000"/>
          <w:sz w:val="24"/>
        </w:rPr>
        <w:t>means a day on which the principal Trading Market is open for trading.</w:t>
      </w:r>
    </w:p>
    <w:p>
      <w:pPr>
        <w:pStyle w:val="TextBody"/>
        <w:bidi w:val="0"/>
        <w:spacing w:before="240" w:after="283"/>
        <w:jc w:val="both"/>
        <w:rPr/>
      </w:pPr>
      <w:r>
        <w:rPr>
          <w:color w:val="000000"/>
        </w:rPr>
        <w:t>“</w:t>
      </w:r>
      <w:r>
        <w:rPr>
          <w:rFonts w:ascii="Times New Roman" w:hAnsi="Times New Roman"/>
          <w:color w:val="000000"/>
          <w:sz w:val="24"/>
          <w:u w:val="single"/>
        </w:rPr>
        <w:t>Trading Market</w:t>
      </w:r>
      <w:r>
        <w:rPr>
          <w:rFonts w:ascii="Times New Roman" w:hAnsi="Times New Roman"/>
          <w:color w:val="000000"/>
          <w:sz w:val="20"/>
        </w:rPr>
        <w:t xml:space="preserve">” </w:t>
      </w:r>
      <w:r>
        <w:rPr>
          <w:rFonts w:ascii="Times New Roman" w:hAnsi="Times New Roman"/>
          <w:color w:val="000000"/>
          <w:sz w:val="24"/>
        </w:rPr>
        <w:t>means any of the following markets or exchanges on which the Common Stock is listed or quoted for trading on the date in question: the NYSE American, the Nasdaq Capital Market, the Nasdaq Global Market, the Nasdaq Global Select Market, the New York Stock Exchange, the OTCQB or the OTCQX (or any successors to any of the foregoing).</w:t>
      </w:r>
    </w:p>
    <w:p>
      <w:pPr>
        <w:pStyle w:val="TextBody"/>
        <w:bidi w:val="0"/>
        <w:spacing w:before="240" w:after="283"/>
        <w:jc w:val="both"/>
        <w:rPr/>
      </w:pPr>
      <w:r>
        <w:rPr>
          <w:color w:val="000000"/>
        </w:rPr>
        <w:t>“</w:t>
      </w:r>
      <w:r>
        <w:rPr>
          <w:rFonts w:ascii="Times New Roman" w:hAnsi="Times New Roman"/>
          <w:color w:val="000000"/>
          <w:sz w:val="24"/>
          <w:u w:val="single"/>
        </w:rPr>
        <w:t>VWAP</w:t>
      </w:r>
      <w:r>
        <w:rPr>
          <w:rFonts w:ascii="Times New Roman" w:hAnsi="Times New Roman"/>
          <w:color w:val="000000"/>
          <w:sz w:val="20"/>
        </w:rPr>
        <w:t xml:space="preserve">” </w:t>
      </w:r>
      <w:r>
        <w:rPr>
          <w:rFonts w:ascii="Times New Roman" w:hAnsi="Times New Roman"/>
          <w:color w:val="000000"/>
          <w:sz w:val="24"/>
        </w:rPr>
        <w:t>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4:00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Open Market (or a similar organization or agency succeeding to its functions of reporting prices), the most recent bid price per share of the Common Stock so reported, or (d) in all other cases, the fair market value of a share of Common Stock as determined by the Board of Directors of the Company in good faith.</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left"/>
        <w:rPr/>
      </w:pPr>
      <w:r>
        <w:rPr>
          <w:rFonts w:ascii="Times New Roman" w:hAnsi="Times New Roman"/>
          <w:color w:val="000000"/>
          <w:sz w:val="24"/>
          <w:u w:val="single"/>
        </w:rPr>
        <w:t>Mechanics of Exercise</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u w:val="single"/>
        </w:rPr>
        <w:t>Delivery of Warrant Shares Upon Exercise</w:t>
      </w:r>
      <w:r>
        <w:rPr>
          <w:rFonts w:ascii="Times New Roman" w:hAnsi="Times New Roman"/>
          <w:color w:val="000000"/>
          <w:sz w:val="24"/>
        </w:rPr>
        <w:t>. The Company shall cause the Warrant Shares purchased hereunder to be delivered by the Transfer Agent to the Holder by crediting the account of the Holder’s or its designee’s balance account with The Depository Trust Company through its Deposit or Withdrawal at Custodian system (“</w:t>
      </w:r>
      <w:r>
        <w:rPr>
          <w:rFonts w:ascii="Times New Roman" w:hAnsi="Times New Roman"/>
          <w:color w:val="000000"/>
          <w:sz w:val="24"/>
          <w:u w:val="single"/>
        </w:rPr>
        <w:t>DWAC</w:t>
      </w:r>
      <w:r>
        <w:rPr>
          <w:color w:val="000000"/>
        </w:rPr>
        <w:t>”</w:t>
      </w:r>
      <w:r>
        <w:rPr>
          <w:rFonts w:ascii="Times New Roman" w:hAnsi="Times New Roman"/>
          <w:color w:val="000000"/>
          <w:sz w:val="24"/>
        </w:rPr>
        <w:t xml:space="preserve">) if the Company is then a participant in such system and either (A) there is an effective registration statement permitting the issuance of the Warrant Shares to the Holder or resale of the Warrant Shares (and a concurrent resale is being made) by the Holder or (B) the Warrant Shares are eligible for resale by the Holder without volume or manner-of-sale limitations pursuant to Rule 144 (assuming cashless exercise of the Warrants), in each case, subject to the delivery by the Holder to the Company and its counsel and the Transfer Agent of customary representation letters and such other documents as such person may request, and otherwise by physical delivery of a certificate or a book-entry notation, registered in the Company’s share register in the name of the Holder or its designee, for the number of Warrant Shares to which the Holder is entitled pursuant to such exercise to the address specified by the Holder in the Notice of Exercise by the date that is the earliest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4"/>
        </w:rPr>
        <w:t>of (i) one (1) Trading Day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hAnsi="Times New Roman"/>
          <w:color w:val="000000"/>
          <w:sz w:val="24"/>
          <w:u w:val="single"/>
        </w:rPr>
        <w:t>Warrant Share Delivery Date</w:t>
      </w:r>
      <w:r>
        <w:rPr>
          <w:color w:val="000000"/>
        </w:rPr>
        <w:t>”</w:t>
      </w:r>
      <w:r>
        <w:rPr>
          <w:rFonts w:ascii="Times New Roman" w:hAnsi="Times New Roman"/>
          <w:color w:val="000000"/>
          <w:sz w:val="24"/>
        </w:rPr>
        <w:t>). Upon delivery of the Notice of Exercise to the Company,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to the Company.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hAnsi="Times New Roman"/>
          <w:color w:val="000000"/>
          <w:sz w:val="24"/>
          <w:u w:val="single"/>
        </w:rPr>
        <w:t>Standard Settlement Period</w:t>
      </w:r>
      <w:r>
        <w:rPr>
          <w:color w:val="000000"/>
        </w:rPr>
        <w:t xml:space="preserve">” </w:t>
      </w:r>
      <w:r>
        <w:rPr>
          <w:rFonts w:ascii="Times New Roman" w:hAnsi="Times New Roman"/>
          <w:color w:val="000000"/>
          <w:sz w:val="24"/>
        </w:rPr>
        <w:t>means the standard settlement period, expressed in a number of Trading Days, on the Company’s primary Trading Market with respect to the Common Stock as in effect on the date of delivery of the Notice of Exercise to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pPr>
      <w:r>
        <w:rPr>
          <w:rFonts w:ascii="Times New Roman" w:hAnsi="Times New Roman"/>
          <w:color w:val="000000"/>
          <w:sz w:val="24"/>
          <w:u w:val="single"/>
        </w:rPr>
        <w:t>Delivery of New Warrants Upon Exercise</w:t>
      </w:r>
      <w:r>
        <w:rPr>
          <w:rFonts w:ascii="Times New Roman" w:hAnsi="Times New Roman"/>
          <w:color w:val="000000"/>
          <w:sz w:val="24"/>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pPr>
      <w:r>
        <w:rPr>
          <w:rFonts w:ascii="Times New Roman" w:hAnsi="Times New Roman"/>
          <w:color w:val="000000"/>
          <w:sz w:val="24"/>
          <w:u w:val="single"/>
        </w:rPr>
        <w:t>Rescission Rights</w:t>
      </w:r>
      <w:r>
        <w:rPr>
          <w:rFonts w:ascii="Times New Roman" w:hAnsi="Times New Roman"/>
          <w:color w:val="000000"/>
          <w:sz w:val="24"/>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pPr>
      <w:r>
        <w:rPr>
          <w:rFonts w:ascii="Times New Roman" w:hAnsi="Times New Roman"/>
          <w:color w:val="000000"/>
          <w:sz w:val="24"/>
          <w:u w:val="single"/>
        </w:rPr>
        <w:t>No Fractional Shares or Scrip</w:t>
      </w:r>
      <w:r>
        <w:rPr>
          <w:rFonts w:ascii="Times New Roman" w:hAnsi="Times New Roman"/>
          <w:color w:val="000000"/>
          <w:sz w:val="24"/>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40" w:after="283"/>
        <w:jc w:val="both"/>
        <w:rPr/>
      </w:pPr>
      <w:r>
        <w:rPr>
          <w:rFonts w:ascii="Times New Roman" w:hAnsi="Times New Roman"/>
          <w:color w:val="000000"/>
          <w:sz w:val="24"/>
          <w:u w:val="single"/>
        </w:rPr>
        <w:t>Charges, Taxes and Expenses</w:t>
      </w:r>
      <w:r>
        <w:rPr>
          <w:rFonts w:ascii="Times New Roman" w:hAnsi="Times New Roman"/>
          <w:color w:val="000000"/>
          <w:sz w:val="24"/>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w:t>
      </w:r>
    </w:p>
    <w:p>
      <w:pPr>
        <w:pStyle w:val="TextBody"/>
        <w:bidi w:val="0"/>
        <w:spacing w:before="240" w:after="283"/>
        <w:jc w:val="both"/>
        <w:rPr/>
      </w:pPr>
      <w:r>
        <w:rPr>
          <w:rFonts w:ascii="Times New Roman" w:hAnsi="Times New Roman"/>
          <w:color w:val="000000"/>
          <w:sz w:val="24"/>
          <w:u w:val="single"/>
        </w:rPr>
        <w:t>Closing of Books</w:t>
      </w:r>
      <w:r>
        <w:rPr>
          <w:rFonts w:ascii="Times New Roman" w:hAnsi="Times New Roman"/>
          <w:color w:val="000000"/>
          <w:sz w:val="24"/>
        </w:rPr>
        <w:t>. The Company will not close its stockholder books or records in any manner which prevents the timely exercise of this Warrant, pursuant to the terms 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Holder’s Exercise Limitations</w:t>
      </w:r>
      <w:r>
        <w:rPr>
          <w:rFonts w:ascii="Times New Roman" w:hAnsi="Times New Roman"/>
          <w:color w:val="000000"/>
          <w:sz w:val="24"/>
        </w:rPr>
        <w:t>. The Company shall not effect any exercise of this Warrant, and a Holder shall not have the right to exercise any portion of this Warrant, pursuant to Section 1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hAnsi="Times New Roman"/>
          <w:color w:val="000000"/>
          <w:sz w:val="24"/>
          <w:u w:val="single"/>
        </w:rPr>
        <w:t>Attribution Parties</w:t>
      </w:r>
      <w:r>
        <w:rPr>
          <w:color w:val="000000"/>
        </w:rPr>
        <w:t>”</w:t>
      </w:r>
      <w:r>
        <w:rPr>
          <w:rFonts w:ascii="Times New Roman" w:hAnsi="Times New Roman"/>
          <w:color w:val="000000"/>
          <w:sz w:val="24"/>
        </w:rPr>
        <w:t xml:space="preserve">)),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subject to a limitation on conversion or exercise analogous to the limitation contained herein beneficially owned by the Holder or any of its Affiliates or Attribution Parties. Except as set forth in the preceding sentence, for purposes of this Section 1(e),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1(e) applies, the determination of whether this Warrant is exercisable (in relation to other securities owned by the Holder together with any Affiliates and Attribution Parties) and of which portion of this Warrant is exercisable shall be in the sole discretion of the Holder, and the Holder’s submission of a Notice of Exercise to the Company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absent manifest error, the Company shall have no obligation to verify or confirm the accuracy of such determination. In addition, a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4"/>
        </w:rPr>
        <w:t>determination as to any group status as contemplated above shall be determined in accordance with Section 13(d) of the Exchange Act and the rules and regulations promulgated thereunder. For purposes of this Section 1(e),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As used herein, “</w:t>
      </w:r>
      <w:r>
        <w:rPr>
          <w:rFonts w:ascii="Times New Roman" w:hAnsi="Times New Roman"/>
          <w:color w:val="000000"/>
          <w:sz w:val="24"/>
          <w:u w:val="single"/>
        </w:rPr>
        <w:t>Affiliate</w:t>
      </w:r>
      <w:r>
        <w:rPr>
          <w:color w:val="000000"/>
        </w:rPr>
        <w:t xml:space="preserve">” </w:t>
      </w:r>
      <w:r>
        <w:rPr>
          <w:rFonts w:ascii="Times New Roman" w:hAnsi="Times New Roman"/>
          <w:color w:val="000000"/>
          <w:sz w:val="24"/>
        </w:rPr>
        <w:t>shall mean any Person directly or indirectly controlled by, controlling or under common control with, a Holder, as such terms are used in and construed under Rule 405 under the Securities Act, but only for so long as such control shall continue. The “</w:t>
      </w:r>
      <w:r>
        <w:rPr>
          <w:rFonts w:ascii="Times New Roman" w:hAnsi="Times New Roman"/>
          <w:color w:val="000000"/>
          <w:sz w:val="24"/>
          <w:u w:val="single"/>
        </w:rPr>
        <w:t>Beneficial Ownership Limitation</w:t>
      </w:r>
      <w:r>
        <w:rPr>
          <w:color w:val="000000"/>
        </w:rPr>
        <w:t xml:space="preserve">” </w:t>
      </w:r>
      <w:r>
        <w:rPr>
          <w:rFonts w:ascii="Times New Roman" w:hAnsi="Times New Roman"/>
          <w:color w:val="000000"/>
          <w:sz w:val="24"/>
        </w:rPr>
        <w:t>shall be 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1(e), provided that the Beneficial Ownership Limitation in no event exceeds 9.99% (19.99% in the case of a holder who beneficially owns more than 9.99% of our common stock immediately prior to the issue date) of the number of shares of the Common Stock outstanding immediately after giving effect to the issuance of shares of Common Stock upon exercise of this Warrant held by the Holder and the provisions of this Section 1(e) shall continue to apply. Any increase in the Beneficial Ownership Limitation will not be effective until the 61</w:t>
      </w:r>
      <w:r>
        <w:rPr>
          <w:rFonts w:ascii="Times New Roman" w:hAnsi="Times New Roman"/>
          <w:color w:val="000000"/>
          <w:sz w:val="16"/>
        </w:rPr>
        <w:t>st</w:t>
      </w:r>
      <w:r>
        <w:rPr>
          <w:color w:val="000000"/>
        </w:rPr>
        <w:t xml:space="preserve"> </w:t>
      </w:r>
      <w:r>
        <w:rPr>
          <w:rFonts w:ascii="Times New Roman" w:hAnsi="Times New Roman"/>
          <w:color w:val="000000"/>
          <w:sz w:val="24"/>
        </w:rPr>
        <w:t>day after such notice is delivered to the Company. The provisions of this paragraph shall be construed and implemented in a manner otherwise than in strict conformity with the terms of this Section 1(e)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2. </w:t>
      </w:r>
      <w:r>
        <w:rPr>
          <w:rFonts w:ascii="Times New Roman" w:hAnsi="Times New Roman"/>
          <w:color w:val="000000"/>
          <w:sz w:val="24"/>
          <w:u w:val="single"/>
        </w:rPr>
        <w:t>Certain Adjustments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Stock Dividends and Splits</w:t>
      </w:r>
      <w:r>
        <w:rPr>
          <w:rFonts w:ascii="Times New Roman" w:hAnsi="Times New Roman"/>
          <w:color w:val="000000"/>
          <w:sz w:val="24"/>
        </w:rPr>
        <w:t xml:space="preserve">.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exchange or conversion of the Warrants or any other warrant or exercisable, exchangeable or convertible securities, and shall not include Purchase Rights for which Section 3(b) shall apply or any distribution of assets for which Section 3(c) shall apply),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4"/>
        </w:rPr>
        <w:t>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2(a) shall become effective immediately after the record date for the determination of stockholders entitled to receive such dividend or distribution and shall become effective immediately after the effective date in the case of a subdivision, combination or re-classification.</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Subsequent Rights Offerings</w:t>
      </w:r>
      <w:r>
        <w:rPr>
          <w:rFonts w:ascii="Times New Roman" w:hAnsi="Times New Roman"/>
          <w:color w:val="000000"/>
          <w:sz w:val="24"/>
        </w:rPr>
        <w:t>. In addition to any adjustments pursuant to Section 2(a) above, if at any time the Company grants, issues or sells any Common Stock Equivalents or rights to purchase stock, warrants, securities or other property pro rata to the record holders of any class of shares of Common Stock (the “</w:t>
      </w:r>
      <w:r>
        <w:rPr>
          <w:rFonts w:ascii="Times New Roman" w:hAnsi="Times New Roman"/>
          <w:color w:val="000000"/>
          <w:sz w:val="24"/>
          <w:u w:val="single"/>
        </w:rPr>
        <w:t>Purchase Rights</w:t>
      </w:r>
      <w:r>
        <w:rPr>
          <w:color w:val="000000"/>
        </w:rPr>
        <w:t>”</w:t>
      </w:r>
      <w:r>
        <w:rPr>
          <w:rFonts w:ascii="Times New Roman" w:hAnsi="Times New Roman"/>
          <w:color w:val="000000"/>
          <w:sz w:val="24"/>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Pro Rata Distributions</w:t>
      </w:r>
      <w:r>
        <w:rPr>
          <w:rFonts w:ascii="Times New Roman" w:hAnsi="Times New Roman"/>
          <w:color w:val="000000"/>
          <w:sz w:val="24"/>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hAnsi="Times New Roman"/>
          <w:color w:val="000000"/>
          <w:sz w:val="24"/>
          <w:u w:val="single"/>
        </w:rPr>
        <w:t>Distribution</w:t>
      </w:r>
      <w:r>
        <w:rPr>
          <w:color w:val="000000"/>
        </w:rPr>
        <w:t>”</w:t>
      </w:r>
      <w:r>
        <w:rPr>
          <w:rFonts w:ascii="Times New Roman" w:hAnsi="Times New Roman"/>
          <w:color w:val="000000"/>
          <w:sz w:val="24"/>
        </w:rPr>
        <w:t xml:space="preserve">),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Distribution shall be held in abeyance for the benefit of the Holder until the Holder has exercised this Warrant.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Fundamental Transaction</w:t>
      </w:r>
      <w:r>
        <w:rPr>
          <w:rFonts w:ascii="Times New Roman" w:hAnsi="Times New Roman"/>
          <w:color w:val="000000"/>
          <w:sz w:val="24"/>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the assets of the Company and its Subsidiaries, taken as a whole,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 w:hAnsi="Times New Roman"/>
          <w:color w:val="000000"/>
          <w:sz w:val="24"/>
          <w:u w:val="single"/>
        </w:rPr>
        <w:t>Fundamental Transaction</w:t>
      </w:r>
      <w:r>
        <w:rPr>
          <w:color w:val="000000"/>
        </w:rPr>
        <w:t>”</w:t>
      </w:r>
      <w:r>
        <w:rPr>
          <w:rFonts w:ascii="Times New Roman" w:hAnsi="Times New Roman"/>
          <w:color w:val="000000"/>
          <w:sz w:val="24"/>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1(e) on the exercise of this Warrant), the number of shares of Common Stock of the successor or acquiring corporation or of the Company, if it is the surviving corporation, and any additional consideration (the “</w:t>
      </w:r>
      <w:r>
        <w:rPr>
          <w:rFonts w:ascii="Times New Roman" w:hAnsi="Times New Roman"/>
          <w:color w:val="000000"/>
          <w:sz w:val="24"/>
          <w:u w:val="single"/>
        </w:rPr>
        <w:t>Alternate Consideration</w:t>
      </w:r>
      <w:r>
        <w:rPr>
          <w:color w:val="000000"/>
        </w:rPr>
        <w:t>”</w:t>
      </w:r>
      <w:r>
        <w:rPr>
          <w:rFonts w:ascii="Times New Roman" w:hAnsi="Times New Roman"/>
          <w:color w:val="000000"/>
          <w:sz w:val="24"/>
        </w:rPr>
        <w:t xml:space="preserve">) receivable as a result of such Fundamental Transaction by a holder of the number of shares of Common Stock for which this Warrant is exercisable immediately prior to such Fundamental Transaction (without regard to any limitation in Section 1(e)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w:t>
      </w:r>
    </w:p>
    <w:p>
      <w:pPr>
        <w:pStyle w:val="TextBody"/>
        <w:bidi w:val="0"/>
        <w:spacing w:before="240" w:after="283"/>
        <w:jc w:val="both"/>
        <w:rPr>
          <w:rFonts w:ascii="Times New Roman" w:hAnsi="Times New Roman"/>
          <w:sz w:val="20"/>
        </w:rPr>
      </w:pPr>
      <w:r>
        <w:rPr>
          <w:rFonts w:ascii="Times New Roman" w:hAnsi="Times New Roman"/>
          <w:color w:val="000000"/>
          <w:sz w:val="24"/>
        </w:rPr>
        <w:t>The Company shall cause any successor entity in a Fundamental Transaction in which the Company is not the survivor (the “</w:t>
      </w:r>
      <w:r>
        <w:rPr>
          <w:rFonts w:ascii="Times New Roman" w:hAnsi="Times New Roman"/>
          <w:color w:val="000000"/>
          <w:sz w:val="24"/>
          <w:u w:val="single"/>
        </w:rPr>
        <w:t>Successor Entity</w:t>
      </w:r>
      <w:r>
        <w:rPr>
          <w:rFonts w:ascii="Times New Roman" w:hAnsi="Times New Roman"/>
          <w:color w:val="000000"/>
          <w:sz w:val="20"/>
        </w:rPr>
        <w:t>”</w:t>
      </w:r>
      <w:r>
        <w:rPr>
          <w:rFonts w:ascii="Times New Roman" w:hAnsi="Times New Roman"/>
          <w:color w:val="000000"/>
          <w:sz w:val="24"/>
        </w:rPr>
        <w:t>) to assume in writing all of the obligations of the Company under this Warrant and the other Transaction Documents in accordance with the provisions of this Section 2(d) pursuant to written agreements in form and substance reasonably satisfactory to the Holder and approved by the Holder (without unreasonable delay) prior to such Fundamental Transaction and shall, at the option of the Holder, deliver to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4"/>
        </w:rPr>
        <w:t>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left"/>
        <w:rPr/>
      </w:pPr>
      <w:r>
        <w:rPr>
          <w:rFonts w:ascii="Times New Roman" w:hAnsi="Times New Roman"/>
          <w:color w:val="000000"/>
          <w:sz w:val="24"/>
          <w:u w:val="single"/>
        </w:rPr>
        <w:t>Calculations</w:t>
      </w:r>
      <w:r>
        <w:rPr>
          <w:rFonts w:ascii="Times New Roman" w:hAnsi="Times New Roman"/>
          <w:color w:val="000000"/>
          <w:sz w:val="24"/>
        </w:rPr>
        <w:t>. All calculations under this Section 2 shall be made to the nearest cent or the nearest 1/100th of a share, as the case may be. For purposes of this Section 2, the number of shares of Common Stock deemed to be issued and outstanding as of a given date shall be the sum of the number of shares of Common Stock (excluding treasury shares, if any) issued and outstanding.</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left"/>
        <w:rPr/>
      </w:pPr>
      <w:r>
        <w:rPr>
          <w:rFonts w:ascii="Times New Roman" w:hAnsi="Times New Roman"/>
          <w:color w:val="000000"/>
          <w:sz w:val="24"/>
          <w:u w:val="single"/>
        </w:rPr>
        <w:t>Notice to Holder</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Adjustment to Exercise Price. Whenever the Exercise Price is adjusted pursuant to any provision of this Section 2, the Company shall promptly deliver to the Holder by facsimile or email a notice setting forth the Exercise Price after such adjustment and any resulting adjustment to the number of Warrant Shares and setting forth a brief statement of the facts requiring such adjustment. Notwithstanding the foregoing or anything to the contrary in this Agreement, in no event may the Exercise Price be adjusted below the par value of the shares of Common Stock then in effect.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pPr>
      <w:r>
        <w:rPr>
          <w:rFonts w:ascii="Times New Roman" w:hAnsi="Times New Roman"/>
          <w:color w:val="000000"/>
          <w:sz w:val="24"/>
          <w:u w:val="single"/>
        </w:rPr>
        <w:t>Notice to Allow Exercise by Holder</w:t>
      </w:r>
      <w:r>
        <w:rPr>
          <w:rFonts w:ascii="Times New Roman" w:hAnsi="Times New Roman"/>
          <w:color w:val="000000"/>
          <w:sz w:val="24"/>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(and all of its Subsidiaries, taken as a whole)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10 calendar days prior to the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substantially simultaneously with the giving of such notice, disclose such information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rFonts w:ascii="Times New Roman" w:hAnsi="Times New Roman"/>
          <w:color w:val="000000"/>
          <w:sz w:val="24"/>
          <w:u w:val="single"/>
        </w:rPr>
        <w:t>Voluntary Adjustment By Company</w:t>
      </w:r>
      <w:r>
        <w:rPr>
          <w:rFonts w:ascii="Times New Roman" w:hAnsi="Times New Roman"/>
          <w:color w:val="000000"/>
          <w:sz w:val="24"/>
        </w:rPr>
        <w:t>. Subject to the rules and regulations of the Trading Market, the Company may at any time during the term of this Warrant, subject to the prior written consent of the Holder, reduce the then current Exercise Price to any amount and for any period of time deemed appropriate by the board of directors of the Company. Notwithstanding the foregoing or anything to the contrary in this Agreement, in no event may the Exercise Price be adjusted below the par value of the shares of Common Stock then in effect.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3. </w:t>
      </w:r>
      <w:r>
        <w:rPr>
          <w:rFonts w:ascii="Times New Roman" w:hAnsi="Times New Roman"/>
          <w:color w:val="000000"/>
          <w:sz w:val="24"/>
          <w:u w:val="single"/>
        </w:rPr>
        <w:t>Transfer of Warrant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Transferability. Subject to compliance with any applicable securities laws and the conditions set forth in Section 3(d) hereof,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New Warrants</w:t>
      </w:r>
      <w:r>
        <w:rPr>
          <w:rFonts w:ascii="Times New Roman" w:hAnsi="Times New Roman"/>
          <w:color w:val="000000"/>
          <w:sz w:val="24"/>
        </w:rPr>
        <w:t xml:space="preserve">.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3(a),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Exercise Date and shall be identical with this Warrant except as to the number of Warrant Shares issuable pursuant thereto.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Warrant Register</w:t>
      </w:r>
      <w:r>
        <w:rPr>
          <w:rFonts w:ascii="Times New Roman" w:hAnsi="Times New Roman"/>
          <w:color w:val="000000"/>
          <w:sz w:val="24"/>
        </w:rPr>
        <w:t>. The Company shall register this Warrant, upon records to be maintained by the Company for that purpose (the “</w:t>
      </w:r>
      <w:r>
        <w:rPr>
          <w:rFonts w:ascii="Times New Roman" w:hAnsi="Times New Roman"/>
          <w:color w:val="000000"/>
          <w:sz w:val="24"/>
          <w:u w:val="single"/>
        </w:rPr>
        <w:t>Warrant Register</w:t>
      </w:r>
      <w:r>
        <w:rPr>
          <w:color w:val="000000"/>
        </w:rPr>
        <w:t>”</w:t>
      </w:r>
      <w:r>
        <w:rPr>
          <w:rFonts w:ascii="Times New Roman" w:hAnsi="Times New Roman"/>
          <w:color w:val="000000"/>
          <w:sz w:val="24"/>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Representation by the Holder</w:t>
      </w:r>
      <w:r>
        <w:rPr>
          <w:rFonts w:ascii="Times New Roman" w:hAnsi="Times New Roman"/>
          <w:color w:val="000000"/>
          <w:sz w:val="24"/>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4. </w:t>
      </w:r>
      <w:r>
        <w:rPr>
          <w:rFonts w:ascii="Times New Roman" w:hAnsi="Times New Roman"/>
          <w:color w:val="000000"/>
          <w:sz w:val="24"/>
          <w:u w:val="single"/>
        </w:rPr>
        <w:t>Miscellaneous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No Rights as Stockholder Until Exercise; No Settlement in Cash</w:t>
      </w:r>
      <w:r>
        <w:rPr>
          <w:rFonts w:ascii="Times New Roman" w:hAnsi="Times New Roman"/>
          <w:color w:val="000000"/>
          <w:sz w:val="24"/>
        </w:rPr>
        <w:t>. This Warrant does not entitle the Holder to any voting rights, dividends or other rights as a stockholder of the Company prior to the exercise hereof as set forth in Section 1(d)(i), except as expressly set forth in Section 3. Without limiting any rights of a Holder to receive Warrant Shares on a “cashless exercise” pursuant to Section 1(c) or to receive cash payments pursuant to Section 1(d)(i) and Section 1(d)(iv) herein, in no event shall the Company be required to net cash settle an exercise of this Warrant.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Loss, Theft, Destruction or Mutilation of Warrant</w:t>
      </w:r>
      <w:r>
        <w:rPr>
          <w:rFonts w:ascii="Times New Roman" w:hAnsi="Times New Roman"/>
          <w:color w:val="000000"/>
          <w:sz w:val="24"/>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Saturdays, Sundays, Holidays, etc</w:t>
      </w:r>
      <w:r>
        <w:rPr>
          <w:rFonts w:ascii="Times New Roman" w:hAnsi="Times New Roman"/>
          <w:color w:val="000000"/>
          <w:sz w:val="24"/>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Authorized Shares</w:t>
      </w:r>
      <w:r>
        <w:rPr>
          <w:rFonts w:ascii="Times New Roman" w:hAnsi="Times New Roman"/>
          <w:color w:val="000000"/>
          <w:sz w:val="24"/>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Except and to the extent as waived or consented to by the Holder, the Company shall not take any action, including, without limitation, amending its certificate of incorporation or through any reorganization, transfer of assets, consolidation, merger, dissolution, issue or sale of securities or any other voluntary action, in order to avoid or seek to avoid the observance or performance of any of the terms of this Warrant, but will at all times in good faith assist in the carrying out of all such terms and in the taking of all such actions as may be necessary to carry out such terms.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Before taking any action which would result in an adjustment in the number of Warrant Shares for which this Warrant is exercisable or in the Exercise Price, the Company shall use commercially reasonable efforts to obtain all such authorizations or exemptions thereof, or consents thereto, as may be necessary from any public regulatory body or bodies having jurisdiction thereof.</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(e)</w:t>
      </w:r>
    </w:p>
    <w:p>
      <w:pPr>
        <w:pStyle w:val="TextBody"/>
        <w:bidi w:val="0"/>
        <w:spacing w:before="240" w:after="283"/>
        <w:jc w:val="both"/>
        <w:rPr/>
      </w:pPr>
      <w:r>
        <w:rPr>
          <w:rFonts w:ascii="Times New Roman" w:hAnsi="Times New Roman"/>
          <w:b/>
          <w:color w:val="000000"/>
          <w:sz w:val="24"/>
          <w:u w:val="single"/>
        </w:rPr>
        <w:t>Governing Law; Jurisdiction</w:t>
      </w:r>
      <w:r>
        <w:rPr>
          <w:rFonts w:ascii="Times New Roman" w:hAnsi="Times New Roman"/>
          <w:b/>
          <w:color w:val="000000"/>
          <w:sz w:val="24"/>
        </w:rPr>
        <w:t xml:space="preserve">. ALL QUESTIONS CONCERNING THE CONSTRUCTION, VALIDITY, ENFORCEMENT AND INTERPRETATION OF THIS WARRANT SHALL BE GOVERNED BY AND CONSTRUED AND ENFORCED IN ACCORDANCE WITH THE LAWS OF THE STATE OF NEW YORK.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b/>
          <w:color w:val="000000"/>
          <w:sz w:val="24"/>
        </w:rPr>
        <w:t>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rFonts w:ascii="Times New Roman" w:hAnsi="Times New Roman"/>
          <w:color w:val="000000"/>
          <w:sz w:val="24"/>
          <w:u w:val="single"/>
        </w:rPr>
        <w:t>Restrictions</w:t>
      </w:r>
      <w:r>
        <w:rPr>
          <w:rFonts w:ascii="Times New Roman" w:hAnsi="Times New Roman"/>
          <w:color w:val="000000"/>
          <w:sz w:val="24"/>
        </w:rPr>
        <w:t>. The Holder acknowledges that the Warrant Shares acquired upon the exercise of this Warrant will have restrictions upon resale imposed by state and federal securities laws and will bear a restrictive legend, subject to Section 1(c) in the case of cashless exercise.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rFonts w:ascii="Times New Roman" w:hAnsi="Times New Roman"/>
          <w:color w:val="000000"/>
          <w:sz w:val="24"/>
          <w:u w:val="single"/>
        </w:rPr>
        <w:t>Nonwaiver and Expenses</w:t>
      </w:r>
      <w:r>
        <w:rPr>
          <w:rFonts w:ascii="Times New Roman" w:hAnsi="Times New Roman"/>
          <w:color w:val="000000"/>
          <w:sz w:val="24"/>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and documented out of pocket external attorneys’ fees of one counsel, including those of appellate proceedings, incurred by the Holder in collecting any amounts due pursuant hereto or in otherwise enforcing any of its rights, powers or remedies 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pPr>
      <w:r>
        <w:rPr>
          <w:rFonts w:ascii="Times New Roman" w:hAnsi="Times New Roman"/>
          <w:color w:val="000000"/>
          <w:sz w:val="24"/>
          <w:u w:val="single"/>
        </w:rPr>
        <w:t>Notices</w:t>
      </w:r>
      <w:r>
        <w:rPr>
          <w:rFonts w:ascii="Times New Roman" w:hAnsi="Times New Roman"/>
          <w:color w:val="000000"/>
          <w:sz w:val="24"/>
        </w:rPr>
        <w:t>. Any and all notices or other communications or deliveries hereunder (including, without limitation, any Exercise Notice) shall be in writing and shall be deemed given and effective on the earliest of (i) the date of transmission, if such notice or communication is delivered confirmed e-mail at the e-mail address specified by the Company prior to 5:30 P.M., New York City time, on a Trading Day, (ii) the next Trading Day after the date of transmission, if such notice or communication is delivered via confirmed e-mail at the e-mail address specified by the Company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u w:val="single"/>
        </w:rPr>
        <w:t>Limitation of Liability</w:t>
      </w:r>
      <w:r>
        <w:rPr>
          <w:rFonts w:ascii="Times New Roman" w:hAnsi="Times New Roman"/>
          <w:color w:val="000000"/>
          <w:sz w:val="24"/>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both"/>
        <w:rPr/>
      </w:pPr>
      <w:r>
        <w:rPr>
          <w:rFonts w:ascii="Times New Roman" w:hAnsi="Times New Roman"/>
          <w:color w:val="000000"/>
          <w:sz w:val="24"/>
          <w:u w:val="single"/>
        </w:rPr>
        <w:t>Remedies</w:t>
      </w:r>
      <w:r>
        <w:rPr>
          <w:rFonts w:ascii="Times New Roman" w:hAnsi="Times New Roman"/>
          <w:color w:val="000000"/>
          <w:sz w:val="24"/>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240" w:after="283"/>
        <w:jc w:val="both"/>
        <w:rPr/>
      </w:pPr>
      <w:r>
        <w:rPr>
          <w:rFonts w:ascii="Times New Roman" w:hAnsi="Times New Roman"/>
          <w:color w:val="000000"/>
          <w:sz w:val="24"/>
          <w:u w:val="single"/>
        </w:rPr>
        <w:t>Successors and Assigns</w:t>
      </w:r>
      <w:r>
        <w:rPr>
          <w:rFonts w:ascii="Times New Roman" w:hAnsi="Times New Roman"/>
          <w:color w:val="000000"/>
          <w:sz w:val="24"/>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w:t>
      </w:r>
    </w:p>
    <w:p>
      <w:pPr>
        <w:pStyle w:val="TextBody"/>
        <w:bidi w:val="0"/>
        <w:spacing w:before="240" w:after="283"/>
        <w:jc w:val="both"/>
        <w:rPr/>
      </w:pPr>
      <w:r>
        <w:rPr>
          <w:rFonts w:ascii="Times New Roman" w:hAnsi="Times New Roman"/>
          <w:color w:val="000000"/>
          <w:sz w:val="24"/>
          <w:u w:val="single"/>
        </w:rPr>
        <w:t>Amendment</w:t>
      </w:r>
      <w:r>
        <w:rPr>
          <w:rFonts w:ascii="Times New Roman" w:hAnsi="Times New Roman"/>
          <w:color w:val="000000"/>
          <w:sz w:val="24"/>
        </w:rPr>
        <w:t>. This Warrant may be modified or amended or the provisions hereof waived with the written consent of the Company and the Holder.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w:t>
      </w:r>
    </w:p>
    <w:p>
      <w:pPr>
        <w:pStyle w:val="TextBody"/>
        <w:bidi w:val="0"/>
        <w:spacing w:before="240" w:after="283"/>
        <w:jc w:val="both"/>
        <w:rPr/>
      </w:pPr>
      <w:r>
        <w:rPr>
          <w:rFonts w:ascii="Times New Roman" w:hAnsi="Times New Roman"/>
          <w:color w:val="000000"/>
          <w:sz w:val="24"/>
          <w:u w:val="single"/>
        </w:rPr>
        <w:t>Severability</w:t>
      </w:r>
      <w:r>
        <w:rPr>
          <w:rFonts w:ascii="Times New Roman" w:hAnsi="Times New Roman"/>
          <w:color w:val="000000"/>
          <w:sz w:val="24"/>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w:t>
      </w:r>
    </w:p>
    <w:p>
      <w:pPr>
        <w:pStyle w:val="TextBody"/>
        <w:bidi w:val="0"/>
        <w:spacing w:before="240" w:after="283"/>
        <w:jc w:val="both"/>
        <w:rPr/>
      </w:pPr>
      <w:r>
        <w:rPr>
          <w:rFonts w:ascii="Times New Roman" w:hAnsi="Times New Roman"/>
          <w:color w:val="000000"/>
          <w:sz w:val="24"/>
          <w:u w:val="single"/>
        </w:rPr>
        <w:t>Headings</w:t>
      </w:r>
      <w:r>
        <w:rPr>
          <w:rFonts w:ascii="Times New Roman" w:hAnsi="Times New Roman"/>
          <w:color w:val="000000"/>
          <w:sz w:val="24"/>
        </w:rPr>
        <w:t>. The headings used in this Warrant are for the convenience of reference only and shall not, for any purpose, be deemed a part of this Warrant.</w:t>
      </w:r>
    </w:p>
    <w:p>
      <w:pPr>
        <w:pStyle w:val="TextBody"/>
        <w:bidi w:val="0"/>
        <w:spacing w:before="240" w:after="283"/>
        <w:jc w:val="center"/>
        <w:rPr>
          <w:rFonts w:ascii="Times New Roman" w:hAnsi="Times New Roman"/>
          <w:color w:val="000000"/>
          <w:sz w:val="24"/>
        </w:rPr>
      </w:pPr>
      <w:bookmarkStart w:id="39" w:name="sty_hc_02"/>
      <w:bookmarkEnd w:id="39"/>
      <w:r>
        <w:rPr>
          <w:rFonts w:ascii="Times New Roman" w:hAnsi="Times New Roman"/>
          <w:color w:val="000000"/>
          <w:sz w:val="24"/>
        </w:rPr>
        <w:t>********************</w:t>
      </w:r>
    </w:p>
    <w:p>
      <w:pPr>
        <w:pStyle w:val="TextBody"/>
        <w:bidi w:val="0"/>
        <w:spacing w:before="240" w:after="283"/>
        <w:jc w:val="center"/>
        <w:rPr>
          <w:rFonts w:ascii="Times New Roman" w:hAnsi="Times New Roman"/>
          <w:i/>
          <w:color w:val="000000"/>
          <w:sz w:val="24"/>
        </w:rPr>
      </w:pPr>
      <w:bookmarkStart w:id="40" w:name="sty_hlbi_02"/>
      <w:bookmarkEnd w:id="40"/>
      <w:r>
        <w:rPr>
          <w:rFonts w:ascii="Times New Roman" w:hAnsi="Times New Roman"/>
          <w:i/>
          <w:color w:val="000000"/>
          <w:sz w:val="24"/>
        </w:rPr>
        <w:t>(Signature Page Follows)</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IN WITNESS WHEREOF, the Company has caused this Warrant to be executed by its officer thereunto duly authorized as of the date first above indicated.</w:t>
      </w:r>
    </w:p>
    <w:p>
      <w:pPr>
        <w:pStyle w:val="TextBody"/>
        <w:bidi w:val="0"/>
        <w:spacing w:before="240" w:after="283"/>
        <w:jc w:val="both"/>
        <w:rPr/>
      </w:pPr>
      <w:r>
        <w:rPr/>
        <w:t> </w:t>
      </w:r>
    </w:p>
    <w:tbl>
      <w:tblPr>
        <w:tblW w:w="3075" w:type="dxa"/>
        <w:jc w:val="left"/>
        <w:tblInd w:w="0" w:type="dxa"/>
        <w:tblLayout w:type="fixed"/>
        <w:tblCellMar>
          <w:top w:w="28" w:type="dxa"/>
          <w:left w:w="28" w:type="dxa"/>
          <w:bottom w:w="28" w:type="dxa"/>
          <w:right w:w="28" w:type="dxa"/>
        </w:tblCellMar>
      </w:tblPr>
      <w:tblGrid>
        <w:gridCol w:w="1107"/>
        <w:gridCol w:w="1968"/>
      </w:tblGrid>
      <w:tr>
        <w:trPr/>
        <w:tc>
          <w:tcPr>
            <w:tcW w:w="1107"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r>
      <w:tr>
        <w:trPr/>
        <w:tc>
          <w:tcPr>
            <w:tcW w:w="30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ASSEMBLY BIOSCIENCES, INC.</w:t>
            </w:r>
          </w:p>
        </w:tc>
      </w:tr>
      <w:tr>
        <w:trPr/>
        <w:tc>
          <w:tcPr>
            <w:tcW w:w="1107" w:type="dxa"/>
            <w:tcBorders/>
            <w:tcMar>
              <w:top w:w="0" w:type="dxa"/>
              <w:left w:w="0" w:type="dxa"/>
              <w:bottom w:w="0" w:type="dxa"/>
              <w:right w:w="0" w:type="dxa"/>
            </w:tcMar>
            <w:vAlign w:val="center"/>
          </w:tcPr>
          <w:p>
            <w:pPr>
              <w:pStyle w:val="TableContents"/>
              <w:bidi w:val="0"/>
              <w:spacing w:before="240" w:after="283"/>
              <w:jc w:val="left"/>
              <w:rPr/>
            </w:pPr>
            <w:r>
              <w:rPr/>
              <w:t> </w:t>
            </w:r>
          </w:p>
        </w:tc>
        <w:tc>
          <w:tcPr>
            <w:tcW w:w="19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By: </w:t>
            </w:r>
          </w:p>
        </w:tc>
        <w:tc>
          <w:tcPr>
            <w:tcW w:w="19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107" w:type="dxa"/>
            <w:tcBorders/>
            <w:tcMar>
              <w:top w:w="0" w:type="dxa"/>
              <w:left w:w="0" w:type="dxa"/>
              <w:bottom w:w="0" w:type="dxa"/>
              <w:right w:w="0" w:type="dxa"/>
            </w:tcMar>
            <w:vAlign w:val="center"/>
          </w:tcPr>
          <w:p>
            <w:pPr>
              <w:pStyle w:val="TableContents"/>
              <w:bidi w:val="0"/>
              <w:spacing w:before="0" w:after="283"/>
              <w:jc w:val="left"/>
              <w:rPr/>
            </w:pPr>
            <w:r>
              <w:rPr/>
              <w:t> </w:t>
            </w:r>
          </w:p>
        </w:tc>
        <w:tc>
          <w:tcPr>
            <w:tcW w:w="1968"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Name:</w:t>
            </w:r>
          </w:p>
        </w:tc>
      </w:tr>
      <w:tr>
        <w:trPr/>
        <w:tc>
          <w:tcPr>
            <w:tcW w:w="1107" w:type="dxa"/>
            <w:tcBorders/>
            <w:tcMar>
              <w:top w:w="0" w:type="dxa"/>
              <w:left w:w="0" w:type="dxa"/>
              <w:bottom w:w="0" w:type="dxa"/>
              <w:right w:w="0" w:type="dxa"/>
            </w:tcMar>
            <w:vAlign w:val="center"/>
          </w:tcPr>
          <w:p>
            <w:pPr>
              <w:pStyle w:val="TableContents"/>
              <w:bidi w:val="0"/>
              <w:spacing w:before="0" w:after="283"/>
              <w:jc w:val="left"/>
              <w:rPr/>
            </w:pPr>
            <w:r>
              <w:rPr/>
              <w:t> </w:t>
            </w:r>
          </w:p>
        </w:tc>
        <w:tc>
          <w:tcPr>
            <w:tcW w:w="1968"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Title:</w:t>
            </w:r>
          </w:p>
        </w:tc>
      </w:tr>
    </w:tbl>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NOTICE OF EXERCISE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To: Assembly Biosciences, Inc.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Payment shall take the form of (check applicable box):</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 in lawful money of the United States;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 [if permitted the cancellation of such number of Warrant Shares as is necessary, in accordance with the formula set forth in subsection 1(c), to exercise this Warrant with respect to the maximum number of Warrant Shares purchasable pursuant to the cashless exercise procedure set forth in subsection 1(c).</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Please issue said Warrant Shares in the name of the undersigned or in such other name as is specified below:</w:t>
      </w:r>
    </w:p>
    <w:p>
      <w:pPr>
        <w:pStyle w:val="TextBody"/>
        <w:pBdr>
          <w:bottom w:val="single" w:sz="6" w:space="1" w:color="000000"/>
        </w:pBdr>
        <w:bidi w:val="0"/>
        <w:spacing w:before="240" w:after="283"/>
        <w:jc w:val="center"/>
        <w:rPr/>
      </w:pPr>
      <w:r>
        <w:rPr/>
        <w:t> </w:t>
      </w:r>
    </w:p>
    <w:p>
      <w:pPr>
        <w:pStyle w:val="TextBody"/>
        <w:bidi w:val="0"/>
        <w:jc w:val="center"/>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Warrant Shares shall be delivered to the following DWAC Account Number:</w:t>
      </w:r>
    </w:p>
    <w:p>
      <w:pPr>
        <w:pStyle w:val="TextBody"/>
        <w:pBdr>
          <w:bottom w:val="single" w:sz="6" w:space="1" w:color="000000"/>
        </w:pBdr>
        <w:bidi w:val="0"/>
        <w:spacing w:before="240" w:after="283"/>
        <w:jc w:val="center"/>
        <w:rPr/>
      </w:pPr>
      <w:r>
        <w:rPr/>
        <w:t> </w:t>
      </w:r>
    </w:p>
    <w:p>
      <w:pPr>
        <w:pStyle w:val="TextBody"/>
        <w:bidi w:val="0"/>
        <w:jc w:val="center"/>
        <w:rPr/>
      </w:pPr>
      <w:r>
        <w:rPr/>
        <w:t> </w:t>
      </w:r>
    </w:p>
    <w:p>
      <w:pPr>
        <w:pStyle w:val="TextBody"/>
        <w:pBdr>
          <w:bottom w:val="single" w:sz="6" w:space="1" w:color="000000"/>
        </w:pBdr>
        <w:bidi w:val="0"/>
        <w:jc w:val="center"/>
        <w:rPr/>
      </w:pPr>
      <w:r>
        <w:rPr/>
        <w:t> </w:t>
      </w:r>
    </w:p>
    <w:p>
      <w:pPr>
        <w:pStyle w:val="TextBody"/>
        <w:bidi w:val="0"/>
        <w:jc w:val="center"/>
        <w:rPr/>
      </w:pPr>
      <w:r>
        <w:rPr/>
        <w:t>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By its delivery of this Notice of Exercise, the undersigned represents and warrants to the Company that in giving effect to the exercise evidenced hereby the Holders will not beneficially own in excess of the number of shares of Common Stock permitted to be owned under Section 1(e) of the Warrant to which this notice relates.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[SIGNATURE OF HOLDER]</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427" w:type="dxa"/>
        <w:jc w:val="left"/>
        <w:tblInd w:w="0" w:type="dxa"/>
        <w:tblLayout w:type="fixed"/>
        <w:tblCellMar>
          <w:top w:w="28" w:type="dxa"/>
          <w:left w:w="28" w:type="dxa"/>
          <w:bottom w:w="28" w:type="dxa"/>
          <w:right w:w="28" w:type="dxa"/>
        </w:tblCellMar>
      </w:tblPr>
      <w:tblGrid>
        <w:gridCol w:w="5236"/>
        <w:gridCol w:w="191"/>
      </w:tblGrid>
      <w:tr>
        <w:trPr/>
        <w:tc>
          <w:tcPr>
            <w:tcW w:w="52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3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 xml:space="preserve">Name of Investing Entity: </w:t>
            </w:r>
          </w:p>
        </w:tc>
        <w:tc>
          <w:tcPr>
            <w:tcW w:w="191" w:type="dxa"/>
            <w:tcBorders>
              <w:bottom w:val="single" w:sz="4" w:space="0" w:color="000000"/>
            </w:tcBorders>
            <w:tcMar>
              <w:top w:w="0" w:type="dxa"/>
              <w:left w:w="0" w:type="dxa"/>
              <w:right w:w="0" w:type="dxa"/>
            </w:tcMar>
            <w:vAlign w:val="center"/>
          </w:tcPr>
          <w:p>
            <w:pPr>
              <w:pStyle w:val="TableContents"/>
              <w:bidi w:val="0"/>
              <w:spacing w:before="40" w:after="283"/>
              <w:jc w:val="left"/>
              <w:rPr/>
            </w:pPr>
            <w:r>
              <w:rPr/>
              <w:t> </w:t>
            </w:r>
          </w:p>
        </w:tc>
      </w:tr>
      <w:tr>
        <w:trPr/>
        <w:tc>
          <w:tcPr>
            <w:tcW w:w="523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sz w:val="24"/>
              </w:rPr>
            </w:pPr>
            <w:r>
              <w:rPr>
                <w:rFonts w:ascii="Times New Roman" w:hAnsi="Times New Roman"/>
                <w:i/>
                <w:color w:val="000000"/>
                <w:sz w:val="24"/>
              </w:rPr>
              <w:t>Signature of Authorized Signatory of Investing Entity</w:t>
            </w:r>
            <w:r>
              <w:rPr>
                <w:rFonts w:ascii="Times New Roman" w:hAnsi="Times New Roman"/>
                <w:color w:val="000000"/>
                <w:sz w:val="24"/>
              </w:rPr>
              <w:t xml:space="preserve">: </w:t>
            </w:r>
          </w:p>
        </w:tc>
        <w:tc>
          <w:tcPr>
            <w:tcW w:w="191" w:type="dxa"/>
            <w:tcBorders>
              <w:bottom w:val="single" w:sz="4" w:space="0" w:color="000000"/>
            </w:tcBorders>
            <w:tcMar>
              <w:top w:w="0" w:type="dxa"/>
              <w:left w:w="0" w:type="dxa"/>
              <w:right w:w="0" w:type="dxa"/>
            </w:tcMar>
            <w:vAlign w:val="center"/>
          </w:tcPr>
          <w:p>
            <w:pPr>
              <w:pStyle w:val="TableContents"/>
              <w:bidi w:val="0"/>
              <w:spacing w:before="40" w:after="283"/>
              <w:jc w:val="left"/>
              <w:rPr/>
            </w:pPr>
            <w:r>
              <w:rPr/>
              <w:t> </w:t>
            </w:r>
          </w:p>
        </w:tc>
      </w:tr>
      <w:tr>
        <w:trPr/>
        <w:tc>
          <w:tcPr>
            <w:tcW w:w="523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 xml:space="preserve">Name of Authorized Signatory: </w:t>
            </w:r>
          </w:p>
        </w:tc>
        <w:tc>
          <w:tcPr>
            <w:tcW w:w="191" w:type="dxa"/>
            <w:tcBorders>
              <w:bottom w:val="single" w:sz="4" w:space="0" w:color="000000"/>
            </w:tcBorders>
            <w:tcMar>
              <w:top w:w="0" w:type="dxa"/>
              <w:left w:w="0" w:type="dxa"/>
              <w:right w:w="0" w:type="dxa"/>
            </w:tcMar>
            <w:vAlign w:val="center"/>
          </w:tcPr>
          <w:p>
            <w:pPr>
              <w:pStyle w:val="TableContents"/>
              <w:bidi w:val="0"/>
              <w:spacing w:before="40" w:after="283"/>
              <w:jc w:val="left"/>
              <w:rPr/>
            </w:pPr>
            <w:r>
              <w:rPr/>
              <w:t> </w:t>
            </w:r>
          </w:p>
        </w:tc>
      </w:tr>
      <w:tr>
        <w:trPr/>
        <w:tc>
          <w:tcPr>
            <w:tcW w:w="523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 xml:space="preserve">Title of Authorized Signatory: </w:t>
            </w:r>
          </w:p>
        </w:tc>
        <w:tc>
          <w:tcPr>
            <w:tcW w:w="191" w:type="dxa"/>
            <w:tcBorders>
              <w:bottom w:val="single" w:sz="4" w:space="0" w:color="000000"/>
            </w:tcBorders>
            <w:tcMar>
              <w:top w:w="0" w:type="dxa"/>
              <w:left w:w="0" w:type="dxa"/>
              <w:right w:w="0" w:type="dxa"/>
            </w:tcMar>
            <w:vAlign w:val="center"/>
          </w:tcPr>
          <w:p>
            <w:pPr>
              <w:pStyle w:val="TableContents"/>
              <w:bidi w:val="0"/>
              <w:spacing w:before="40" w:after="283"/>
              <w:jc w:val="left"/>
              <w:rPr/>
            </w:pPr>
            <w:r>
              <w:rPr/>
              <w:t> </w:t>
            </w:r>
          </w:p>
        </w:tc>
      </w:tr>
      <w:tr>
        <w:trPr/>
        <w:tc>
          <w:tcPr>
            <w:tcW w:w="523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 xml:space="preserve">Date: </w:t>
            </w:r>
          </w:p>
        </w:tc>
        <w:tc>
          <w:tcPr>
            <w:tcW w:w="191" w:type="dxa"/>
            <w:tcBorders>
              <w:bottom w:val="single" w:sz="4" w:space="0" w:color="000000"/>
            </w:tcBorders>
            <w:tcMar>
              <w:top w:w="0" w:type="dxa"/>
              <w:left w:w="0" w:type="dxa"/>
              <w:right w:w="0" w:type="dxa"/>
            </w:tcMar>
            <w:vAlign w:val="center"/>
          </w:tcPr>
          <w:p>
            <w:pPr>
              <w:pStyle w:val="TableContents"/>
              <w:bidi w:val="0"/>
              <w:spacing w:before="4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ASSIGNMENT FORM</w:t>
      </w:r>
    </w:p>
    <w:p>
      <w:pPr>
        <w:pStyle w:val="TextBody"/>
        <w:bidi w:val="0"/>
        <w:spacing w:before="240" w:after="283"/>
        <w:jc w:val="center"/>
        <w:rPr>
          <w:rFonts w:ascii="Times New Roman" w:hAnsi="Times New Roman"/>
          <w:i/>
          <w:color w:val="000000"/>
          <w:sz w:val="24"/>
        </w:rPr>
      </w:pPr>
      <w:bookmarkStart w:id="41" w:name="sty_hli_02"/>
      <w:bookmarkEnd w:id="41"/>
      <w:r>
        <w:rPr>
          <w:rFonts w:ascii="Times New Roman" w:hAnsi="Times New Roman"/>
          <w:i/>
          <w:color w:val="000000"/>
          <w:sz w:val="24"/>
        </w:rPr>
        <w:t>(To assign the foregoing Warrant, execute this form and supply required information. Do not use this form to purchase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VALUE RECEIVED, the foregoing Warrant and all rights evidenced thereby are hereby assigned to</w:t>
      </w:r>
    </w:p>
    <w:p>
      <w:pPr>
        <w:pStyle w:val="TextBody"/>
        <w:bidi w:val="0"/>
        <w:jc w:val="both"/>
        <w:rPr/>
      </w:pPr>
      <w:r>
        <w:rPr/>
        <w:t> </w:t>
      </w:r>
    </w:p>
    <w:tbl>
      <w:tblPr>
        <w:tblW w:w="5307" w:type="dxa"/>
        <w:jc w:val="left"/>
        <w:tblInd w:w="0" w:type="dxa"/>
        <w:tblLayout w:type="fixed"/>
        <w:tblCellMar>
          <w:top w:w="28" w:type="dxa"/>
          <w:left w:w="28" w:type="dxa"/>
          <w:bottom w:w="28" w:type="dxa"/>
          <w:right w:w="28" w:type="dxa"/>
        </w:tblCellMar>
      </w:tblPr>
      <w:tblGrid>
        <w:gridCol w:w="3281"/>
        <w:gridCol w:w="469"/>
        <w:gridCol w:w="146"/>
        <w:gridCol w:w="1411"/>
      </w:tblGrid>
      <w:tr>
        <w:trPr/>
        <w:tc>
          <w:tcPr>
            <w:tcW w:w="328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3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81" w:type="dxa"/>
            <w:tcBorders/>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(Please Print)</w:t>
            </w:r>
          </w:p>
        </w:tc>
      </w:tr>
      <w:tr>
        <w:trPr/>
        <w:tc>
          <w:tcPr>
            <w:tcW w:w="3281" w:type="dxa"/>
            <w:tcBorders/>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Address:</w:t>
            </w:r>
          </w:p>
        </w:tc>
        <w:tc>
          <w:tcPr>
            <w:tcW w:w="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81" w:type="dxa"/>
            <w:tcBorders/>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(Please Print)</w:t>
            </w:r>
          </w:p>
        </w:tc>
      </w:tr>
      <w:tr>
        <w:trPr/>
        <w:tc>
          <w:tcPr>
            <w:tcW w:w="3281" w:type="dxa"/>
            <w:tcBorders/>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Phone Number:</w:t>
            </w:r>
          </w:p>
        </w:tc>
        <w:tc>
          <w:tcPr>
            <w:tcW w:w="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81" w:type="dxa"/>
            <w:tcBorders/>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Email Address: </w:t>
            </w:r>
          </w:p>
        </w:tc>
        <w:tc>
          <w:tcPr>
            <w:tcW w:w="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81" w:type="dxa"/>
            <w:tcBorders/>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5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Dated: _______________ __, ______</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81" w:type="dxa"/>
            <w:tcBorders/>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Holder’s Signature:</w:t>
            </w:r>
          </w:p>
        </w:tc>
        <w:tc>
          <w:tcPr>
            <w:tcW w:w="46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81" w:type="dxa"/>
            <w:tcBorders/>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Holder’s Address:</w:t>
            </w:r>
          </w:p>
        </w:tc>
        <w:tc>
          <w:tcPr>
            <w:tcW w:w="46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42" w:name="sty_ht1_03"/>
      <w:bookmarkStart w:id="43" w:name="asmb-ex4_4.htm"/>
      <w:bookmarkStart w:id="44" w:name="ksasmbex4_4"/>
      <w:bookmarkEnd w:id="42"/>
      <w:bookmarkEnd w:id="43"/>
      <w:bookmarkEnd w:id="44"/>
      <w:r>
        <w:rPr>
          <w:rFonts w:ascii="Times New Roman" w:hAnsi="Times New Roman"/>
          <w:b/>
          <w:color w:val="000000"/>
          <w:sz w:val="24"/>
        </w:rPr>
        <w:t>Exhibit 4.4</w:t>
      </w:r>
      <w:r>
        <w:br w:type="page"/>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COMMON STOCK PURCHASE WARRANT</w:t>
      </w:r>
    </w:p>
    <w:p>
      <w:pPr>
        <w:pStyle w:val="TextBody"/>
        <w:bidi w:val="0"/>
        <w:spacing w:before="240" w:after="283"/>
        <w:jc w:val="center"/>
        <w:rPr>
          <w:rFonts w:ascii="Times New Roman" w:hAnsi="Times New Roman"/>
          <w:b/>
          <w:color w:val="000000"/>
          <w:sz w:val="24"/>
        </w:rPr>
      </w:pPr>
      <w:bookmarkStart w:id="45" w:name="sty_ht1_13"/>
      <w:bookmarkEnd w:id="45"/>
      <w:r>
        <w:rPr>
          <w:rFonts w:ascii="Times New Roman" w:hAnsi="Times New Roman"/>
          <w:b/>
          <w:color w:val="000000"/>
          <w:sz w:val="24"/>
        </w:rPr>
        <w:t>ASSEMBLY BIOSCIENCES, INC.</w:t>
      </w:r>
    </w:p>
    <w:p>
      <w:pPr>
        <w:pStyle w:val="TextBody"/>
        <w:bidi w:val="0"/>
        <w:jc w:val="both"/>
        <w:rPr/>
      </w:pPr>
      <w:r>
        <w:rPr/>
        <w:t> </w:t>
      </w:r>
    </w:p>
    <w:tbl>
      <w:tblPr>
        <w:tblW w:w="6437" w:type="dxa"/>
        <w:jc w:val="left"/>
        <w:tblInd w:w="0" w:type="dxa"/>
        <w:tblLayout w:type="fixed"/>
        <w:tblCellMar>
          <w:top w:w="28" w:type="dxa"/>
          <w:left w:w="28" w:type="dxa"/>
          <w:bottom w:w="28" w:type="dxa"/>
          <w:right w:w="28" w:type="dxa"/>
        </w:tblCellMar>
      </w:tblPr>
      <w:tblGrid>
        <w:gridCol w:w="2656"/>
        <w:gridCol w:w="3781"/>
      </w:tblGrid>
      <w:tr>
        <w:trPr/>
        <w:tc>
          <w:tcPr>
            <w:tcW w:w="2656"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Warrant Shares: 1,147,960</w:t>
            </w:r>
          </w:p>
        </w:tc>
        <w:tc>
          <w:tcPr>
            <w:tcW w:w="3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Initial Exercise Date: August 11, 2025</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THIS COMMON STOCK PURCHASE WARRANT (the “</w:t>
      </w:r>
      <w:r>
        <w:rPr>
          <w:rFonts w:ascii="Times New Roman" w:hAnsi="Times New Roman"/>
          <w:color w:val="000000"/>
          <w:sz w:val="24"/>
          <w:u w:val="single"/>
        </w:rPr>
        <w:t>Warrant</w:t>
      </w:r>
      <w:r>
        <w:rPr>
          <w:rFonts w:ascii="Times New Roman" w:hAnsi="Times New Roman"/>
          <w:color w:val="000000"/>
          <w:sz w:val="20"/>
        </w:rPr>
        <w:t>”</w:t>
      </w:r>
      <w:r>
        <w:rPr>
          <w:rFonts w:ascii="Times New Roman" w:hAnsi="Times New Roman"/>
          <w:color w:val="000000"/>
          <w:sz w:val="24"/>
        </w:rPr>
        <w:t>) certifies that, for value received, Gilead Sciences, Inc. or its assigns (the “</w:t>
      </w:r>
      <w:r>
        <w:rPr>
          <w:rFonts w:ascii="Times New Roman" w:hAnsi="Times New Roman"/>
          <w:color w:val="000000"/>
          <w:sz w:val="24"/>
          <w:u w:val="single"/>
        </w:rPr>
        <w:t>Holder</w:t>
      </w:r>
      <w:r>
        <w:rPr>
          <w:rFonts w:ascii="Times New Roman" w:hAnsi="Times New Roman"/>
          <w:color w:val="000000"/>
          <w:sz w:val="20"/>
        </w:rPr>
        <w:t>”</w:t>
      </w:r>
      <w:r>
        <w:rPr>
          <w:rFonts w:ascii="Times New Roman" w:hAnsi="Times New Roman"/>
          <w:color w:val="000000"/>
          <w:sz w:val="24"/>
        </w:rPr>
        <w:t>) is entitled, upon the terms and subject to the limitations on exercise and the conditions hereinafter set forth, at any time on or after the date hereof (the “</w:t>
      </w:r>
      <w:r>
        <w:rPr>
          <w:rFonts w:ascii="Times New Roman" w:hAnsi="Times New Roman"/>
          <w:color w:val="000000"/>
          <w:sz w:val="24"/>
          <w:u w:val="single"/>
        </w:rPr>
        <w:t>Initial Exercise Date</w:t>
      </w:r>
      <w:r>
        <w:rPr>
          <w:rFonts w:ascii="Times New Roman" w:hAnsi="Times New Roman"/>
          <w:color w:val="000000"/>
          <w:sz w:val="20"/>
        </w:rPr>
        <w:t>”</w:t>
      </w:r>
      <w:r>
        <w:rPr>
          <w:rFonts w:ascii="Times New Roman" w:hAnsi="Times New Roman"/>
          <w:color w:val="000000"/>
          <w:sz w:val="24"/>
        </w:rPr>
        <w:t>) and on or prior to the earlier of (i) 5:00 p.m. (New York City time) on August 11, 2030 and (ii) the date that is 30 days after the public announcement (whether by press release, document filed or furnished with the Commission (as defined below) or other form of public announcement) that the Company has completed enrollment (of at least 200 patients total) for its Phase 2 clinical study evaluating ABI-5366 vs. valacyclovir, provided that, if such date falls on a day other than a Trading Day, the next day (such earlier date, the “</w:t>
      </w:r>
      <w:r>
        <w:rPr>
          <w:rFonts w:ascii="Times New Roman" w:hAnsi="Times New Roman"/>
          <w:color w:val="000000"/>
          <w:sz w:val="24"/>
          <w:u w:val="single"/>
        </w:rPr>
        <w:t>Termination Date</w:t>
      </w:r>
      <w:r>
        <w:rPr>
          <w:rFonts w:ascii="Times New Roman" w:hAnsi="Times New Roman"/>
          <w:color w:val="000000"/>
          <w:sz w:val="20"/>
        </w:rPr>
        <w:t>”</w:t>
      </w:r>
      <w:r>
        <w:rPr>
          <w:rFonts w:ascii="Times New Roman" w:hAnsi="Times New Roman"/>
          <w:color w:val="000000"/>
          <w:sz w:val="24"/>
        </w:rPr>
        <w:t>) but not thereafter, to subscribe for and purchase from Assembly Biosciences,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up to 1,147,960 shares (as subject to adjustment hereunder, the “</w:t>
      </w:r>
      <w:r>
        <w:rPr>
          <w:rFonts w:ascii="Times New Roman" w:hAnsi="Times New Roman"/>
          <w:color w:val="000000"/>
          <w:sz w:val="24"/>
          <w:u w:val="single"/>
        </w:rPr>
        <w:t>Warrant Shares</w:t>
      </w:r>
      <w:r>
        <w:rPr>
          <w:rFonts w:ascii="Times New Roman" w:hAnsi="Times New Roman"/>
          <w:color w:val="000000"/>
          <w:sz w:val="20"/>
        </w:rPr>
        <w:t>”</w:t>
      </w:r>
      <w:r>
        <w:rPr>
          <w:rFonts w:ascii="Times New Roman" w:hAnsi="Times New Roman"/>
          <w:color w:val="000000"/>
          <w:sz w:val="24"/>
        </w:rPr>
        <w:t>) of common stock, par value $0.001 per share, of the Company (the “</w:t>
      </w:r>
      <w:r>
        <w:rPr>
          <w:rFonts w:ascii="Times New Roman" w:hAnsi="Times New Roman"/>
          <w:color w:val="000000"/>
          <w:sz w:val="24"/>
          <w:u w:val="single"/>
        </w:rPr>
        <w:t>Common Stock</w:t>
      </w:r>
      <w:r>
        <w:rPr>
          <w:rFonts w:ascii="Times New Roman" w:hAnsi="Times New Roman"/>
          <w:color w:val="000000"/>
          <w:sz w:val="20"/>
        </w:rPr>
        <w:t>”</w:t>
      </w:r>
      <w:r>
        <w:rPr>
          <w:rFonts w:ascii="Times New Roman" w:hAnsi="Times New Roman"/>
          <w:color w:val="000000"/>
          <w:sz w:val="24"/>
        </w:rPr>
        <w:t>). The purchase price of one share of Common Stock under this Warrant shall be equal to the Exercise Price, as defined in Section 2(b).</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1. </w:t>
      </w:r>
      <w:r>
        <w:rPr>
          <w:rFonts w:ascii="Times New Roman" w:hAnsi="Times New Roman"/>
          <w:color w:val="000000"/>
          <w:sz w:val="24"/>
          <w:u w:val="single"/>
        </w:rPr>
        <w:t>Exercise.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Exercise of Warrant</w:t>
      </w:r>
      <w:r>
        <w:rPr>
          <w:rFonts w:ascii="Times New Roman" w:hAnsi="Times New Roman"/>
          <w:color w:val="000000"/>
          <w:sz w:val="24"/>
        </w:rPr>
        <w:t xml:space="preserve">.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“Notice of Exercise”). Within the earlier of (i) one (1) Trading Day (as defined below) and (ii) the number of Trading Days comprising the Standard Settlement Period (as defined in Section 1(d)(i)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1(c) below is specified in the applicable Notice of Exercise. No ink-original Notice of Exercise shall be required, nor shall any medallion guarantee (or other type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4"/>
        </w:rPr>
        <w:t xml:space="preserve">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its receipt of such notice. </w:t>
      </w:r>
      <w:r>
        <w:rPr>
          <w:rFonts w:ascii="Times New Roman" w:hAnsi="Times New Roman"/>
          <w:b/>
          <w:color w:val="000000"/>
          <w:sz w:val="24"/>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Exercise Price</w:t>
      </w:r>
      <w:r>
        <w:rPr>
          <w:rFonts w:ascii="Times New Roman" w:hAnsi="Times New Roman"/>
          <w:color w:val="000000"/>
          <w:sz w:val="24"/>
        </w:rPr>
        <w:t>. The exercise price per share of Common Stock under this Warrant shall be $21.60, subject to adjustment hereunder (the “Exercise Price”).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Cashless Exercise</w:t>
      </w:r>
      <w:r>
        <w:rPr>
          <w:rFonts w:ascii="Times New Roman" w:hAnsi="Times New Roman"/>
          <w:color w:val="000000"/>
          <w:sz w:val="24"/>
        </w:rPr>
        <w:t>. If at the time of exercise of this Warrant there is no effective registration statement registering, or the prospectus contained therein is not available for, or an exemption from registration is not available for, the issuance of the Warrant Shares,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before="240" w:after="283"/>
        <w:jc w:val="both"/>
        <w:rPr>
          <w:rFonts w:ascii="Times New Roman" w:hAnsi="Times New Roman"/>
          <w:sz w:val="20"/>
        </w:rPr>
      </w:pPr>
      <w:r>
        <w:rPr>
          <w:rFonts w:ascii="Times New Roman" w:hAnsi="Times New Roman"/>
          <w:color w:val="000000"/>
          <w:sz w:val="24"/>
        </w:rPr>
        <w:t>(A) = as applicable: (i) the VWAP on the Trading Day immediately preceding the date of the applicable Notice of Exercise if such Notice of Exercise is (1) both executed and delivered pursuant to Section 1(a) hereof on a day that is not a Trading Day or (2) both executed and delivered pursuant to Section 1(a)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hAnsi="Times New Roman"/>
          <w:color w:val="000000"/>
          <w:sz w:val="24"/>
          <w:u w:val="single"/>
        </w:rPr>
        <w:t>Bloomberg</w:t>
      </w:r>
      <w:r>
        <w:rPr>
          <w:rFonts w:ascii="Times New Roman" w:hAnsi="Times New Roman"/>
          <w:color w:val="000000"/>
          <w:sz w:val="20"/>
        </w:rPr>
        <w:t>”</w:t>
      </w:r>
      <w:r>
        <w:rPr>
          <w:rFonts w:ascii="Times New Roman" w:hAnsi="Times New Roman"/>
          <w:color w:val="000000"/>
          <w:sz w:val="24"/>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1(a) hereof or (iii) the VWAP on the date of the applicable Notice of Exercise if the date of such Notice of Exercise is a Trading Day and such Notice of Exercise is both executed and delivered pursuant to Section 1(a) hereof after the close of “regular trading hours” on such Trading Day;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4"/>
        </w:rPr>
        <w:t>(B) = the Exercise Price of this Warrant, as adjusted hereunder; and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 = the number of Warrant Shares that would be issuable upon exercise of this Warrant in accordance with the terms of this Warrant if such exercise were by means of a cash exercise rather than a cashless exercise.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by such Holder to the holding period of such Holder of this Warrant. The Company agrees not to take any position contrary to this paragraph.</w:t>
      </w:r>
    </w:p>
    <w:p>
      <w:pPr>
        <w:pStyle w:val="TextBody"/>
        <w:bidi w:val="0"/>
        <w:spacing w:before="240" w:after="283"/>
        <w:jc w:val="both"/>
        <w:rPr/>
      </w:pPr>
      <w:r>
        <w:rPr>
          <w:color w:val="000000"/>
        </w:rPr>
        <w:t>“</w:t>
      </w:r>
      <w:r>
        <w:rPr>
          <w:rFonts w:ascii="Times New Roman" w:hAnsi="Times New Roman"/>
          <w:color w:val="000000"/>
          <w:sz w:val="24"/>
          <w:u w:val="single"/>
        </w:rPr>
        <w:t>Bid Price</w:t>
      </w:r>
      <w:r>
        <w:rPr>
          <w:rFonts w:ascii="Times New Roman" w:hAnsi="Times New Roman"/>
          <w:color w:val="000000"/>
          <w:sz w:val="20"/>
        </w:rPr>
        <w:t xml:space="preserve">” </w:t>
      </w:r>
      <w:r>
        <w:rPr>
          <w:rFonts w:ascii="Times New Roman" w:hAnsi="Times New Roman"/>
          <w:color w:val="000000"/>
          <w:sz w:val="24"/>
        </w:rPr>
        <w:t>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the Board of Directors of the Company in good faith.</w:t>
      </w:r>
    </w:p>
    <w:p>
      <w:pPr>
        <w:pStyle w:val="TextBody"/>
        <w:bidi w:val="0"/>
        <w:spacing w:before="240" w:after="240"/>
        <w:jc w:val="both"/>
        <w:rPr/>
      </w:pPr>
      <w:r>
        <w:rPr>
          <w:color w:val="000000"/>
        </w:rPr>
        <w:t>“</w:t>
      </w:r>
      <w:r>
        <w:rPr>
          <w:rFonts w:ascii="Times New Roman" w:hAnsi="Times New Roman"/>
          <w:color w:val="000000"/>
          <w:sz w:val="24"/>
          <w:u w:val="single"/>
        </w:rPr>
        <w:t>Trading Day</w:t>
      </w:r>
      <w:r>
        <w:rPr>
          <w:rFonts w:ascii="Times New Roman" w:hAnsi="Times New Roman"/>
          <w:color w:val="000000"/>
          <w:sz w:val="20"/>
        </w:rPr>
        <w:t xml:space="preserve">” </w:t>
      </w:r>
      <w:r>
        <w:rPr>
          <w:rFonts w:ascii="Times New Roman" w:hAnsi="Times New Roman"/>
          <w:color w:val="000000"/>
          <w:sz w:val="24"/>
        </w:rPr>
        <w:t>means a day on which the principal Trading Market is open for trading.</w:t>
      </w:r>
    </w:p>
    <w:p>
      <w:pPr>
        <w:pStyle w:val="TextBody"/>
        <w:bidi w:val="0"/>
        <w:jc w:val="both"/>
        <w:rPr/>
      </w:pPr>
      <w:r>
        <w:rPr>
          <w:color w:val="000000"/>
        </w:rPr>
        <w:t>“</w:t>
      </w:r>
      <w:r>
        <w:rPr>
          <w:rFonts w:ascii="Times New Roman" w:hAnsi="Times New Roman"/>
          <w:color w:val="000000"/>
          <w:sz w:val="24"/>
          <w:u w:val="single"/>
        </w:rPr>
        <w:t>Trading Market</w:t>
      </w:r>
      <w:r>
        <w:rPr>
          <w:rFonts w:ascii="Times New Roman" w:hAnsi="Times New Roman"/>
          <w:color w:val="000000"/>
          <w:sz w:val="20"/>
        </w:rPr>
        <w:t xml:space="preserve">” </w:t>
      </w:r>
      <w:r>
        <w:rPr>
          <w:rFonts w:ascii="Times New Roman" w:hAnsi="Times New Roman"/>
          <w:color w:val="000000"/>
          <w:sz w:val="24"/>
        </w:rPr>
        <w:t>means any of the following markets or exchanges on which the Common Stock is listed or quoted for trading on the date in question: the NYSE American, the Nasdaq Capital Market, the Nasdaq Global Market, the Nasdaq Global Select Market, the New York Stock Exchange, the OTCQB or the OTCQX (or any successors to any of the foregoing).</w:t>
      </w:r>
    </w:p>
    <w:p>
      <w:pPr>
        <w:pStyle w:val="TextBody"/>
        <w:bidi w:val="0"/>
        <w:spacing w:before="240" w:after="283"/>
        <w:jc w:val="both"/>
        <w:rPr/>
      </w:pPr>
      <w:r>
        <w:rPr>
          <w:color w:val="000000"/>
        </w:rPr>
        <w:t>“</w:t>
      </w:r>
      <w:r>
        <w:rPr>
          <w:rFonts w:ascii="Times New Roman" w:hAnsi="Times New Roman"/>
          <w:color w:val="000000"/>
          <w:sz w:val="24"/>
          <w:u w:val="single"/>
        </w:rPr>
        <w:t>VWAP</w:t>
      </w:r>
      <w:r>
        <w:rPr>
          <w:rFonts w:ascii="Times New Roman" w:hAnsi="Times New Roman"/>
          <w:color w:val="000000"/>
          <w:sz w:val="20"/>
        </w:rPr>
        <w:t xml:space="preserve">” </w:t>
      </w:r>
      <w:r>
        <w:rPr>
          <w:rFonts w:ascii="Times New Roman" w:hAnsi="Times New Roman"/>
          <w:color w:val="000000"/>
          <w:sz w:val="24"/>
        </w:rPr>
        <w:t>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4:00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Open Market (or a similar organization or agency succeeding to its functions of reporting prices), the most recent bid price per share of the Common Stock so reported, or (d) in all other cases, the fair market value of a share of Common Stock as determined by the Board of Directors of the Company in good faith.</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Mechanics of Exercise.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u w:val="single"/>
        </w:rPr>
        <w:t xml:space="preserve">Delivery of Warrant Shares Upon Exercise </w:t>
      </w:r>
      <w:r>
        <w:rPr>
          <w:rFonts w:ascii="Times New Roman" w:hAnsi="Times New Roman"/>
          <w:color w:val="000000"/>
          <w:sz w:val="24"/>
        </w:rPr>
        <w:t>. The Company shall cause the Warrant Shares purchased hereunder to be delivered by the Transfer Agent to the Holder by crediting the account of the Holder’s or its designee’s balance account with The Depository Trust Company through its Deposit or Withdrawal at Custodian system (“</w:t>
      </w:r>
      <w:r>
        <w:rPr>
          <w:rFonts w:ascii="Times New Roman" w:hAnsi="Times New Roman"/>
          <w:color w:val="000000"/>
          <w:sz w:val="24"/>
          <w:u w:val="single"/>
        </w:rPr>
        <w:t>DWAC</w:t>
      </w:r>
      <w:r>
        <w:rPr>
          <w:color w:val="000000"/>
        </w:rPr>
        <w:t>”</w:t>
      </w:r>
      <w:r>
        <w:rPr>
          <w:rFonts w:ascii="Times New Roman" w:hAnsi="Times New Roman"/>
          <w:color w:val="000000"/>
          <w:sz w:val="24"/>
        </w:rPr>
        <w:t>) if the Company is then a participant in such system and either (A) there is an effective registration statement permitting the issuance of the Warrant Shares to the Holder or resale of the Warrant Shares (and a concurrent resale is being made) by the Holder or (B) the Warrant Shares are eligible for resale by the Holder without volume or manner-of-sale limitations pursuant to Rule 144 (assuming cashless exercise of the Warrants), in each case, subject to the delivery by the Holder to the Company and its counsel and the Transfer Agent of customary representation letters and such other documents as such person may request, and otherwise by physical delivery of a certificate or a book-entry notation, registered in the Company’s share register in the name of the Holder or its designee, for the number of Warrant Shares to which the Holder is entitled pursuant to such exercise to the address specified by the Holder in the Notice of Exercise by the date that is the earliest of (i) one (1) Trading Day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hAnsi="Times New Roman"/>
          <w:color w:val="000000"/>
          <w:sz w:val="24"/>
          <w:u w:val="single"/>
        </w:rPr>
        <w:t>Warrant Share Delivery Date</w:t>
      </w:r>
      <w:r>
        <w:rPr>
          <w:color w:val="000000"/>
        </w:rPr>
        <w:t>”</w:t>
      </w:r>
      <w:r>
        <w:rPr>
          <w:rFonts w:ascii="Times New Roman" w:hAnsi="Times New Roman"/>
          <w:color w:val="000000"/>
          <w:sz w:val="24"/>
        </w:rPr>
        <w:t>). Upon delivery of the Notice of Exercise to the Company,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to the Company.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hAnsi="Times New Roman"/>
          <w:color w:val="000000"/>
          <w:sz w:val="24"/>
          <w:u w:val="single"/>
        </w:rPr>
        <w:t>Standard Settlement Period</w:t>
      </w:r>
      <w:r>
        <w:rPr>
          <w:color w:val="000000"/>
        </w:rPr>
        <w:t xml:space="preserve">” </w:t>
      </w:r>
      <w:r>
        <w:rPr>
          <w:rFonts w:ascii="Times New Roman" w:hAnsi="Times New Roman"/>
          <w:color w:val="000000"/>
          <w:sz w:val="24"/>
        </w:rPr>
        <w:t>means the standard settlement period, expressed in a number of Trading Days, on the Company’s primary Trading Market with respect to the Common Stock as in effect on the date of delivery of the Notice of Exercise to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pPr>
      <w:r>
        <w:rPr>
          <w:rFonts w:ascii="Times New Roman" w:hAnsi="Times New Roman"/>
          <w:color w:val="000000"/>
          <w:sz w:val="24"/>
          <w:u w:val="single"/>
        </w:rPr>
        <w:t>Delivery of New Warrants</w:t>
      </w:r>
      <w:r>
        <w:rPr>
          <w:color w:val="000000"/>
        </w:rPr>
        <w:t xml:space="preserve"> </w:t>
      </w:r>
      <w:r>
        <w:rPr>
          <w:rFonts w:ascii="Times New Roman" w:hAnsi="Times New Roman"/>
          <w:color w:val="000000"/>
          <w:sz w:val="24"/>
        </w:rPr>
        <w:t xml:space="preserve">Upon Exercise .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Shares called for by this Warrant, which new Warrant shall in all other respects be identical with this Warrant.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pPr>
      <w:r>
        <w:rPr>
          <w:rFonts w:ascii="Times New Roman" w:hAnsi="Times New Roman"/>
          <w:color w:val="000000"/>
          <w:sz w:val="24"/>
          <w:u w:val="single"/>
        </w:rPr>
        <w:t>Rescission Rights</w:t>
      </w:r>
      <w:r>
        <w:rPr>
          <w:rFonts w:ascii="Times New Roman" w:hAnsi="Times New Roman"/>
          <w:color w:val="000000"/>
          <w:sz w:val="24"/>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pPr>
      <w:r>
        <w:rPr>
          <w:rFonts w:ascii="Times New Roman" w:hAnsi="Times New Roman"/>
          <w:color w:val="000000"/>
          <w:sz w:val="24"/>
          <w:u w:val="single"/>
        </w:rPr>
        <w:t>No Fractional Shares or Scrip</w:t>
      </w:r>
      <w:r>
        <w:rPr>
          <w:rFonts w:ascii="Times New Roman" w:hAnsi="Times New Roman"/>
          <w:color w:val="000000"/>
          <w:sz w:val="24"/>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40" w:after="283"/>
        <w:jc w:val="both"/>
        <w:rPr/>
      </w:pPr>
      <w:r>
        <w:rPr>
          <w:rFonts w:ascii="Times New Roman" w:hAnsi="Times New Roman"/>
          <w:color w:val="000000"/>
          <w:sz w:val="24"/>
          <w:u w:val="single"/>
        </w:rPr>
        <w:t>Charges, Taxes and Expenses</w:t>
      </w:r>
      <w:r>
        <w:rPr>
          <w:rFonts w:ascii="Times New Roman" w:hAnsi="Times New Roman"/>
          <w:color w:val="000000"/>
          <w:sz w:val="24"/>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w:t>
      </w:r>
    </w:p>
    <w:p>
      <w:pPr>
        <w:pStyle w:val="TextBody"/>
        <w:bidi w:val="0"/>
        <w:spacing w:before="240" w:after="283"/>
        <w:jc w:val="both"/>
        <w:rPr/>
      </w:pPr>
      <w:r>
        <w:rPr>
          <w:rFonts w:ascii="Times New Roman" w:hAnsi="Times New Roman"/>
          <w:color w:val="000000"/>
          <w:sz w:val="24"/>
          <w:u w:val="single"/>
        </w:rPr>
        <w:t>Closing of Books</w:t>
      </w:r>
      <w:r>
        <w:rPr>
          <w:rFonts w:ascii="Times New Roman" w:hAnsi="Times New Roman"/>
          <w:color w:val="000000"/>
          <w:sz w:val="24"/>
        </w:rPr>
        <w:t>. The Company will not close its stockholder books or records in any manner which prevents the timely exercise of this Warrant, pursuant to the terms 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Holder’s Exercise Limitations</w:t>
      </w:r>
      <w:r>
        <w:rPr>
          <w:color w:val="000000"/>
        </w:rPr>
        <w:t xml:space="preserve"> </w:t>
      </w:r>
      <w:r>
        <w:rPr>
          <w:rFonts w:ascii="Times New Roman" w:hAnsi="Times New Roman"/>
          <w:color w:val="000000"/>
          <w:sz w:val="24"/>
        </w:rPr>
        <w:t>. The Company shall not effect any exercise of this Warrant, and a Holder shall not have the right to exercise any portion of this Warrant, pursuant to Section 1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hAnsi="Times New Roman"/>
          <w:color w:val="000000"/>
          <w:sz w:val="24"/>
          <w:u w:val="single"/>
        </w:rPr>
        <w:t>Attribution Parties</w:t>
      </w:r>
      <w:r>
        <w:rPr>
          <w:color w:val="000000"/>
        </w:rPr>
        <w:t>”</w:t>
      </w:r>
      <w:r>
        <w:rPr>
          <w:rFonts w:ascii="Times New Roman" w:hAnsi="Times New Roman"/>
          <w:color w:val="000000"/>
          <w:sz w:val="24"/>
        </w:rPr>
        <w:t xml:space="preserve">)),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subject to a limitation on conversion or exercise analogous to the limitation contained herein beneficially owned by the Holder or any of its Affiliates or Attribution Parties. Except as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4"/>
        </w:rPr>
        <w:t>set forth in the preceding sentence, for purposes of this Section 1(e),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1(e) applies, the determination of whether this Warrant is exercisable (in relation to other securities owned by the Holder together with any Affiliates and Attribution Parties) and of which portion of this Warrant is exercisable shall be in the sole discretion of the Holder, and the Holder’s submission of a Notice of Exercise to the Company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absent manifest error,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1(e),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As used herein, “</w:t>
      </w:r>
      <w:r>
        <w:rPr>
          <w:rFonts w:ascii="Times New Roman" w:hAnsi="Times New Roman"/>
          <w:color w:val="000000"/>
          <w:sz w:val="24"/>
          <w:u w:val="single"/>
        </w:rPr>
        <w:t>Affiliate</w:t>
      </w:r>
      <w:r>
        <w:rPr>
          <w:color w:val="000000"/>
        </w:rPr>
        <w:t xml:space="preserve">” </w:t>
      </w:r>
      <w:r>
        <w:rPr>
          <w:rFonts w:ascii="Times New Roman" w:hAnsi="Times New Roman"/>
          <w:color w:val="000000"/>
          <w:sz w:val="24"/>
        </w:rPr>
        <w:t>shall mean any Person directly or indirectly controlled by, controlling or under common control with, a Holder, as such terms are used in and construed under Rule 405 under the Securities Act, but only for so long as such control shall continue. The “</w:t>
      </w:r>
      <w:r>
        <w:rPr>
          <w:rFonts w:ascii="Times New Roman" w:hAnsi="Times New Roman"/>
          <w:color w:val="000000"/>
          <w:sz w:val="24"/>
          <w:u w:val="single"/>
        </w:rPr>
        <w:t>Beneficial Ownership Limitation</w:t>
      </w:r>
      <w:r>
        <w:rPr>
          <w:color w:val="000000"/>
        </w:rPr>
        <w:t xml:space="preserve">” </w:t>
      </w:r>
      <w:r>
        <w:rPr>
          <w:rFonts w:ascii="Times New Roman" w:hAnsi="Times New Roman"/>
          <w:color w:val="000000"/>
          <w:sz w:val="24"/>
        </w:rPr>
        <w:t>shall be 19.99%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1(e), provided that the Beneficial Ownership Limitation in no event exceeds 29.99% of the number of shares of the Common Stock outstanding immediately after giving effect to the issuance of shares of Common Stock upon exercise of this Warrant held by the Holder and the provisions of this Section 1(e) shall continue to apply. Any increase in the Beneficial Ownership Limitation will not be effective until the 61</w:t>
      </w:r>
      <w:r>
        <w:rPr>
          <w:rFonts w:ascii="Times New Roman" w:hAnsi="Times New Roman"/>
          <w:color w:val="000000"/>
          <w:sz w:val="16"/>
        </w:rPr>
        <w:t>st</w:t>
      </w:r>
      <w:r>
        <w:rPr>
          <w:color w:val="000000"/>
        </w:rPr>
        <w:t xml:space="preserve"> </w:t>
      </w:r>
      <w:r>
        <w:rPr>
          <w:rFonts w:ascii="Times New Roman" w:hAnsi="Times New Roman"/>
          <w:color w:val="000000"/>
          <w:sz w:val="24"/>
        </w:rPr>
        <w:t>day after such notice is delivered to the Company. The provisions of this paragraph shall be construed and implemented in a manner otherwise than in strict conformity with the terms of this Section 1(e)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2. </w:t>
      </w:r>
      <w:r>
        <w:rPr>
          <w:rFonts w:ascii="Times New Roman" w:hAnsi="Times New Roman"/>
          <w:color w:val="000000"/>
          <w:sz w:val="24"/>
          <w:u w:val="single"/>
        </w:rPr>
        <w:t>Certain Adjustments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Stock Dividends and Splits</w:t>
      </w:r>
      <w:r>
        <w:rPr>
          <w:color w:val="000000"/>
        </w:rPr>
        <w:t xml:space="preserve"> </w:t>
      </w:r>
      <w:r>
        <w:rPr>
          <w:rFonts w:ascii="Times New Roman" w:hAnsi="Times New Roman"/>
          <w:color w:val="000000"/>
          <w:sz w:val="24"/>
        </w:rPr>
        <w:t xml:space="preserve">.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exchange or conversion of the Warrants or any other warrant or exercisable, exchangeable or convertible securities, and shall not include Purchase Rights for which Section 3(b) shall apply or any distribution of assets for which Section 3(c) shall apply),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2(a) shall become effective immediately after the record date for the determination of stockholders entitled to receive such dividend or distribution and shall become effective immediately after the effective date in the case of a subdivision, combination or re-classification.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Subsequent Rights Offerings</w:t>
      </w:r>
      <w:r>
        <w:rPr>
          <w:rFonts w:ascii="Times New Roman" w:hAnsi="Times New Roman"/>
          <w:color w:val="000000"/>
          <w:sz w:val="24"/>
        </w:rPr>
        <w:t xml:space="preserve">. In addition to any adjustments pursuant to Section 2(a) above, if at any time the Company grants, issues or sells any Common Stock Equivalents or rights to purchase stock, warrants, securities or other property pro rata to the record holders of any class of shares of Common Stock (the “Purchase Rights”),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Pro Rata Distributions</w:t>
      </w:r>
      <w:r>
        <w:rPr>
          <w:rFonts w:ascii="Times New Roman" w:hAnsi="Times New Roman"/>
          <w:color w:val="000000"/>
          <w:sz w:val="24"/>
        </w:rPr>
        <w:t xml:space="preserve">.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“Distribution”), at any time after the issuance of this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Fundamental Transaction</w:t>
      </w:r>
      <w:r>
        <w:rPr>
          <w:color w:val="000000"/>
        </w:rPr>
        <w:t xml:space="preserve"> </w:t>
      </w:r>
      <w:r>
        <w:rPr>
          <w:rFonts w:ascii="Times New Roman" w:hAnsi="Times New Roman"/>
          <w:color w:val="000000"/>
          <w:sz w:val="24"/>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the assets of the Company and its Subsidiaries, taken as a whole,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 w:hAnsi="Times New Roman"/>
          <w:color w:val="000000"/>
          <w:sz w:val="24"/>
          <w:u w:val="single"/>
        </w:rPr>
        <w:t>Fundamental Transaction</w:t>
      </w:r>
      <w:r>
        <w:rPr>
          <w:color w:val="000000"/>
        </w:rPr>
        <w:t>”</w:t>
      </w:r>
      <w:r>
        <w:rPr>
          <w:rFonts w:ascii="Times New Roman" w:hAnsi="Times New Roman"/>
          <w:color w:val="000000"/>
          <w:sz w:val="24"/>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1(e) on the exercise of this Warrant), the number of shares of Common Stock of the successor or acquiring corporation or of the Company, if it is the surviving corporation, and any additional consideration (the “</w:t>
      </w:r>
      <w:r>
        <w:rPr>
          <w:rFonts w:ascii="Times New Roman" w:hAnsi="Times New Roman"/>
          <w:color w:val="000000"/>
          <w:sz w:val="24"/>
          <w:u w:val="single"/>
        </w:rPr>
        <w:t>Alternate Consideration</w:t>
      </w:r>
      <w:r>
        <w:rPr>
          <w:color w:val="000000"/>
        </w:rPr>
        <w:t>”</w:t>
      </w:r>
      <w:r>
        <w:rPr>
          <w:rFonts w:ascii="Times New Roman" w:hAnsi="Times New Roman"/>
          <w:color w:val="000000"/>
          <w:sz w:val="24"/>
        </w:rPr>
        <w:t xml:space="preserve">) receivable as a result of such Fundamental Transaction by a holder of the number of shares of Common Stock for which this Warrant is exercisable immediately prior to such Fundamental Transaction (without regard to any limitation in Section 1(e) on the exercise of this Warrant). For purposes of any such exercise, the determination of the Exercise Price shall be appropriately adjusted to apply to such Alternate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4"/>
        </w:rPr>
        <w:t>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w:t>
      </w:r>
      <w:r>
        <w:rPr>
          <w:color w:val="00000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The Company shall cause any successor entity in a Fundamental Transaction in which the Company is not the survivor (the “</w:t>
      </w:r>
      <w:r>
        <w:rPr>
          <w:rFonts w:ascii="Times New Roman" w:hAnsi="Times New Roman"/>
          <w:color w:val="000000"/>
          <w:sz w:val="24"/>
          <w:u w:val="single"/>
        </w:rPr>
        <w:t>Successor Entity</w:t>
      </w:r>
      <w:r>
        <w:rPr>
          <w:rFonts w:ascii="Times New Roman" w:hAnsi="Times New Roman"/>
          <w:color w:val="000000"/>
          <w:sz w:val="20"/>
        </w:rPr>
        <w:t>”</w:t>
      </w:r>
      <w:r>
        <w:rPr>
          <w:rFonts w:ascii="Times New Roman" w:hAnsi="Times New Roman"/>
          <w:color w:val="000000"/>
          <w:sz w:val="24"/>
        </w:rPr>
        <w:t>) to assume in writing all of the obligations of the Company under this Warrant and the other Transaction Documents in accordance with the provisions of this Section 2(d)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Calculations</w:t>
      </w:r>
      <w:r>
        <w:rPr>
          <w:color w:val="000000"/>
        </w:rPr>
        <w:t xml:space="preserve"> </w:t>
      </w:r>
      <w:r>
        <w:rPr>
          <w:rFonts w:ascii="Times New Roman" w:hAnsi="Times New Roman"/>
          <w:color w:val="000000"/>
          <w:sz w:val="24"/>
        </w:rPr>
        <w:t>. All calculations under this Section 2 shall be made to the nearest cent or the nearest 1/100th of a share, as the case may be. For purposes of this Section 2, the number of shares of Common Stock deemed to be issued and outstanding as of a given date shall be the sum of the number of shares of Common Stock (excluding treasury shares, if any) issued and outstanding.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rFonts w:ascii="Times New Roman" w:hAnsi="Times New Roman"/>
          <w:color w:val="000000"/>
          <w:sz w:val="24"/>
          <w:u w:val="single"/>
        </w:rPr>
        <w:t>Notice to Holder</w:t>
      </w:r>
      <w:r>
        <w:rPr>
          <w:color w:val="000000"/>
        </w:rPr>
        <w:t xml:space="preserve"> </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u w:val="single"/>
        </w:rPr>
        <w:t>Adjustment to Exercise Price</w:t>
      </w:r>
      <w:r>
        <w:rPr>
          <w:color w:val="000000"/>
        </w:rPr>
        <w:t xml:space="preserve"> </w:t>
      </w:r>
      <w:r>
        <w:rPr>
          <w:rFonts w:ascii="Times New Roman" w:hAnsi="Times New Roman"/>
          <w:color w:val="000000"/>
          <w:sz w:val="24"/>
        </w:rPr>
        <w:t xml:space="preserve">. Whenever the Exercise Price is adjusted pursuant to any provision of this Section 2, the Company shall promptly deliver to the Holder by facsimile or email a notice setting forth the Exercise Price after such adjustment and any resulting adjustment to the number of Warrant Shares and setting forth a brief statement of the facts requiring such adjustment.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pPr>
      <w:r>
        <w:rPr>
          <w:rFonts w:ascii="Times New Roman" w:hAnsi="Times New Roman"/>
          <w:color w:val="000000"/>
          <w:sz w:val="24"/>
          <w:u w:val="single"/>
        </w:rPr>
        <w:t>Notice to Allow Exercise by Holder</w:t>
      </w:r>
      <w:r>
        <w:rPr>
          <w:color w:val="000000"/>
        </w:rPr>
        <w:t xml:space="preserve"> </w:t>
      </w:r>
      <w:r>
        <w:rPr>
          <w:rFonts w:ascii="Times New Roman" w:hAnsi="Times New Roman"/>
          <w:color w:val="000000"/>
          <w:sz w:val="24"/>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(and all of its Subsidiaries, taken as a whole)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substantially simultaneously with the giving of such notice, disclose such information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rFonts w:ascii="Times New Roman" w:hAnsi="Times New Roman"/>
          <w:color w:val="000000"/>
          <w:sz w:val="24"/>
          <w:u w:val="single"/>
        </w:rPr>
        <w:t>Voluntary Adjustment By Company</w:t>
      </w:r>
      <w:r>
        <w:rPr>
          <w:color w:val="000000"/>
        </w:rPr>
        <w:t xml:space="preserve"> </w:t>
      </w:r>
      <w:r>
        <w:rPr>
          <w:rFonts w:ascii="Times New Roman" w:hAnsi="Times New Roman"/>
          <w:color w:val="000000"/>
          <w:sz w:val="24"/>
        </w:rPr>
        <w:t>. Subject to the rules and regulations of the Trading Market, the Company may at any time during the term of this Warrant, subject to the prior written consent of the Holder, reduce the then current Exercise Price to any amount and for any period of time deemed appropriate by the board of directors of the Company.</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3. </w:t>
      </w:r>
      <w:r>
        <w:rPr>
          <w:rFonts w:ascii="Times New Roman" w:hAnsi="Times New Roman"/>
          <w:color w:val="000000"/>
          <w:sz w:val="24"/>
          <w:u w:val="single"/>
        </w:rPr>
        <w:t>Transfer of Warrant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Transferability</w:t>
      </w:r>
      <w:r>
        <w:rPr>
          <w:color w:val="000000"/>
        </w:rPr>
        <w:t xml:space="preserve"> </w:t>
      </w:r>
      <w:r>
        <w:rPr>
          <w:rFonts w:ascii="Times New Roman" w:hAnsi="Times New Roman"/>
          <w:color w:val="000000"/>
          <w:sz w:val="24"/>
        </w:rPr>
        <w:t xml:space="preserve">. Subject to compliance with any applicable securities laws and the conditions set forth in Section 3(d) hereof,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4"/>
        </w:rPr>
        <w:t>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New Warrants</w:t>
      </w:r>
      <w:r>
        <w:rPr>
          <w:color w:val="000000"/>
        </w:rPr>
        <w:t xml:space="preserve"> </w:t>
      </w:r>
      <w:r>
        <w:rPr>
          <w:rFonts w:ascii="Times New Roman" w:hAnsi="Times New Roman"/>
          <w:color w:val="000000"/>
          <w:sz w:val="24"/>
        </w:rPr>
        <w:t xml:space="preserve">.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3(a),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Exercise Date and shall be identical with this Warrant except as to the number of Warrant Shares issuable pursuant thereto.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Warrant Register</w:t>
      </w:r>
      <w:r>
        <w:rPr>
          <w:color w:val="000000"/>
        </w:rPr>
        <w:t xml:space="preserve"> </w:t>
      </w:r>
      <w:r>
        <w:rPr>
          <w:rFonts w:ascii="Times New Roman" w:hAnsi="Times New Roman"/>
          <w:color w:val="000000"/>
          <w:sz w:val="24"/>
        </w:rPr>
        <w:t>. The Company shall register this Warrant, upon records to be maintained by the Company for that purpose (the “</w:t>
      </w:r>
      <w:r>
        <w:rPr>
          <w:rFonts w:ascii="Times New Roman" w:hAnsi="Times New Roman"/>
          <w:color w:val="000000"/>
          <w:sz w:val="24"/>
          <w:u w:val="single"/>
        </w:rPr>
        <w:t>Warrant Register</w:t>
      </w:r>
      <w:r>
        <w:rPr>
          <w:color w:val="000000"/>
        </w:rPr>
        <w:t>”</w:t>
      </w:r>
      <w:r>
        <w:rPr>
          <w:rFonts w:ascii="Times New Roman" w:hAnsi="Times New Roman"/>
          <w:color w:val="000000"/>
          <w:sz w:val="24"/>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Representation by the Holder</w:t>
      </w:r>
      <w:r>
        <w:rPr>
          <w:color w:val="000000"/>
        </w:rPr>
        <w:t xml:space="preserve"> </w:t>
      </w:r>
      <w:r>
        <w:rPr>
          <w:rFonts w:ascii="Times New Roman" w:hAnsi="Times New Roman"/>
          <w:color w:val="000000"/>
          <w:sz w:val="24"/>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4. </w:t>
      </w:r>
      <w:r>
        <w:rPr>
          <w:rFonts w:ascii="Times New Roman" w:hAnsi="Times New Roman"/>
          <w:color w:val="000000"/>
          <w:sz w:val="24"/>
          <w:u w:val="single"/>
        </w:rPr>
        <w:t>Miscellaneous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No Rights as Stockholder Until Exercise; No Settlement in Cash</w:t>
      </w:r>
      <w:r>
        <w:rPr>
          <w:color w:val="000000"/>
        </w:rPr>
        <w:t xml:space="preserve"> </w:t>
      </w:r>
      <w:r>
        <w:rPr>
          <w:rFonts w:ascii="Times New Roman" w:hAnsi="Times New Roman"/>
          <w:color w:val="000000"/>
          <w:sz w:val="24"/>
        </w:rPr>
        <w:t>. This Warrant does not entitle the Holder to any voting rights, dividends or other rights as a stockholder of the Company prior to the exercise hereof as set forth in Section 1(d)(i), except as expressly set forth in Section 3. Without limiting any rights of a Holder to receive Warrant Shares on a “cashless exercise” pursuant to Section 1(c) or to receive cash payments pursuant to Section 1(d)(i) and Section 1(d)(iv) herein, in no event shall the Company be required to net cash settle an exercise of this Warrant.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Loss, Theft, Destruction or Mutilation of Warrant</w:t>
      </w:r>
      <w:r>
        <w:rPr>
          <w:color w:val="000000"/>
        </w:rPr>
        <w:t xml:space="preserve"> </w:t>
      </w:r>
      <w:r>
        <w:rPr>
          <w:rFonts w:ascii="Times New Roman" w:hAnsi="Times New Roman"/>
          <w:color w:val="000000"/>
          <w:sz w:val="24"/>
        </w:rPr>
        <w:t xml:space="preserve">.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such Warrant or stock certificate, if mutilated, the Company will make and deliver a new Warrant or stock certificate of like tenor and dated as of such cancellation, in lieu of such Warrant or stock certificate.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Saturdays, Sundays, Holidays, etc</w:t>
      </w:r>
      <w:r>
        <w:rPr>
          <w:color w:val="000000"/>
        </w:rPr>
        <w:t xml:space="preserve"> </w:t>
      </w:r>
      <w:r>
        <w:rPr>
          <w:rFonts w:ascii="Times New Roman" w:hAnsi="Times New Roman"/>
          <w:color w:val="000000"/>
          <w:sz w:val="24"/>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Authorized Shares</w:t>
      </w:r>
      <w:r>
        <w:rPr>
          <w:color w:val="000000"/>
        </w:rPr>
        <w:t xml:space="preserve"> </w:t>
      </w:r>
      <w:r>
        <w:rPr>
          <w:rFonts w:ascii="Times New Roman" w:hAnsi="Times New Roman"/>
          <w:color w:val="000000"/>
          <w:sz w:val="24"/>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Except and to the extent as waived or consented to by the Holder, the Company shall not take any action, including, without limitation, amending its certificate of incorporation or through any reorganization, transfer of assets, consolidation, merger, dissolution, issue or sale of securities or any other voluntary action, in order to avoid or seek to avoid the observance or performance of any of the terms of this Warrant, but will at all times in good faith assist in the carrying out of all such terms and in the taking of all such actions as may be necessary to carry out such terms.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Before taking any action which would result in an adjustment in the number of Warrant Shares for which this Warrant is exercisable or in the Exercise Price, the Company shall use commercially reasonable efforts to obtain all such authorizations or exemptions thereof, or consents thereto, as may be necessary from any public regulatory body or bodies having jurisdiction thereof.</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b/>
          <w:color w:val="000000"/>
          <w:sz w:val="24"/>
        </w:rPr>
      </w:pPr>
      <w:r>
        <w:rPr>
          <w:rFonts w:ascii="Times New Roman" w:hAnsi="Times New Roman"/>
          <w:b/>
          <w:color w:val="000000"/>
          <w:sz w:val="24"/>
        </w:rPr>
        <w:t>(e)</w:t>
      </w:r>
    </w:p>
    <w:p>
      <w:pPr>
        <w:pStyle w:val="TextBody"/>
        <w:bidi w:val="0"/>
        <w:spacing w:before="120" w:after="283"/>
        <w:jc w:val="both"/>
        <w:rPr/>
      </w:pPr>
      <w:r>
        <w:rPr>
          <w:rFonts w:ascii="Times New Roman" w:hAnsi="Times New Roman"/>
          <w:b/>
          <w:color w:val="000000"/>
          <w:sz w:val="24"/>
          <w:u w:val="single"/>
        </w:rPr>
        <w:t>Governing Law; Jurisdiction</w:t>
      </w:r>
      <w:r>
        <w:rPr>
          <w:color w:val="000000"/>
        </w:rPr>
        <w:t xml:space="preserve"> </w:t>
      </w:r>
      <w:r>
        <w:rPr>
          <w:rFonts w:ascii="Times New Roman" w:hAnsi="Times New Roman"/>
          <w:color w:val="000000"/>
          <w:sz w:val="24"/>
        </w:rPr>
        <w:t xml:space="preserve">. </w:t>
      </w:r>
      <w:r>
        <w:rPr>
          <w:rFonts w:ascii="Times New Roman" w:hAnsi="Times New Roman"/>
          <w:b/>
          <w:color w:val="000000"/>
          <w:sz w:val="24"/>
        </w:rPr>
        <w:t>ALL QUESTIONS CONCERNING THE CONSTRUCTION, VALIDITY, ENFORCEMENT AND INTERPRETATION OF THIS WARRANT SHALL BE GOVERNED BY AND CONSTRUED AND ENFORCED IN ACCORDANCE WITH THE LAWS OF THE STATE OF NEW YORK.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rFonts w:ascii="Times New Roman" w:hAnsi="Times New Roman"/>
          <w:color w:val="000000"/>
          <w:sz w:val="24"/>
          <w:u w:val="single"/>
        </w:rPr>
        <w:t>Restrictions</w:t>
      </w:r>
      <w:r>
        <w:rPr>
          <w:color w:val="000000"/>
        </w:rPr>
        <w:t xml:space="preserve"> </w:t>
      </w:r>
      <w:r>
        <w:rPr>
          <w:rFonts w:ascii="Times New Roman" w:hAnsi="Times New Roman"/>
          <w:color w:val="000000"/>
          <w:sz w:val="24"/>
        </w:rPr>
        <w:t>. The Holder acknowledges that the Warrant Shares acquired upon the exercise of this Warrant will have restrictions upon resale imposed by state and federal securities laws and will bear a restrictive legend, subject to Section 1(c) in the case of cashless exercise.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rFonts w:ascii="Times New Roman" w:hAnsi="Times New Roman"/>
          <w:color w:val="000000"/>
          <w:sz w:val="24"/>
          <w:u w:val="single"/>
        </w:rPr>
        <w:t>Nonwaiver and Expenses</w:t>
      </w:r>
      <w:r>
        <w:rPr>
          <w:color w:val="000000"/>
        </w:rPr>
        <w:t xml:space="preserve"> </w:t>
      </w:r>
      <w:r>
        <w:rPr>
          <w:rFonts w:ascii="Times New Roman" w:hAnsi="Times New Roman"/>
          <w:color w:val="000000"/>
          <w:sz w:val="24"/>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and documented out of pocket external attorneys’ fees of one counsel, including those of appellate proceedings, incurred by the Holder in collecting any amounts due pursuant hereto or in otherwise enforcing any of its rights, powers or remedies 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pPr>
      <w:r>
        <w:rPr>
          <w:rFonts w:ascii="Times New Roman" w:hAnsi="Times New Roman"/>
          <w:color w:val="000000"/>
          <w:sz w:val="24"/>
          <w:u w:val="single"/>
        </w:rPr>
        <w:t>Notices</w:t>
      </w:r>
      <w:r>
        <w:rPr>
          <w:color w:val="000000"/>
        </w:rPr>
        <w:t xml:space="preserve"> </w:t>
      </w:r>
      <w:r>
        <w:rPr>
          <w:rFonts w:ascii="Times New Roman" w:hAnsi="Times New Roman"/>
          <w:color w:val="000000"/>
          <w:sz w:val="24"/>
        </w:rPr>
        <w:t xml:space="preserve">. Any and all notices or other communications or deliveries hereunder (including, without limitation, any Exercise Notice) shall be in writing and shall be deemed given and effective on the earliest of (i) the date of transmission, if such notice or communication is delivered confirmed e-mail at the e-mail address specified by the Company prior to 5:30 P.M., New York City time, on a Trading Day, (ii) the next Trading Day after the date of transmission, if such notice or communication is delivered via confirmed e-mail at the e-mail address specified by the Company on a day that is not a Trading Day or later than 5:30 P.M., New York City time, on any Trading Day, (iii) the Trading Day following the date of mailing, if sent by nationally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recognized overnight courier service specifying next business day delivery, or (iv) upon actual receipt by the Person to whom such notice is required to be given, if by hand delivery.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u w:val="single"/>
        </w:rPr>
        <w:t>Limitation of Liability</w:t>
      </w:r>
      <w:r>
        <w:rPr>
          <w:color w:val="000000"/>
        </w:rPr>
        <w:t xml:space="preserve"> </w:t>
      </w:r>
      <w:r>
        <w:rPr>
          <w:rFonts w:ascii="Times New Roman" w:hAnsi="Times New Roman"/>
          <w:color w:val="000000"/>
          <w:sz w:val="24"/>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both"/>
        <w:rPr/>
      </w:pPr>
      <w:r>
        <w:rPr>
          <w:rFonts w:ascii="Times New Roman" w:hAnsi="Times New Roman"/>
          <w:color w:val="000000"/>
          <w:sz w:val="24"/>
          <w:u w:val="single"/>
        </w:rPr>
        <w:t>Remedies</w:t>
      </w:r>
      <w:r>
        <w:rPr>
          <w:color w:val="000000"/>
        </w:rPr>
        <w:t xml:space="preserve"> </w:t>
      </w:r>
      <w:r>
        <w:rPr>
          <w:rFonts w:ascii="Times New Roman" w:hAnsi="Times New Roman"/>
          <w:color w:val="000000"/>
          <w:sz w:val="24"/>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240" w:after="283"/>
        <w:jc w:val="both"/>
        <w:rPr/>
      </w:pPr>
      <w:r>
        <w:rPr>
          <w:rFonts w:ascii="Times New Roman" w:hAnsi="Times New Roman"/>
          <w:color w:val="000000"/>
          <w:sz w:val="24"/>
          <w:u w:val="single"/>
        </w:rPr>
        <w:t>Successors and Assigns</w:t>
      </w:r>
      <w:r>
        <w:rPr>
          <w:color w:val="000000"/>
        </w:rPr>
        <w:t xml:space="preserve"> </w:t>
      </w:r>
      <w:r>
        <w:rPr>
          <w:rFonts w:ascii="Times New Roman" w:hAnsi="Times New Roman"/>
          <w:color w:val="000000"/>
          <w:sz w:val="24"/>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w:t>
      </w:r>
    </w:p>
    <w:p>
      <w:pPr>
        <w:pStyle w:val="TextBody"/>
        <w:bidi w:val="0"/>
        <w:spacing w:before="240" w:after="283"/>
        <w:jc w:val="both"/>
        <w:rPr/>
      </w:pPr>
      <w:r>
        <w:rPr>
          <w:rFonts w:ascii="Times New Roman" w:hAnsi="Times New Roman"/>
          <w:color w:val="000000"/>
          <w:sz w:val="24"/>
          <w:u w:val="single"/>
        </w:rPr>
        <w:t>Amendment</w:t>
      </w:r>
      <w:r>
        <w:rPr>
          <w:color w:val="000000"/>
        </w:rPr>
        <w:t xml:space="preserve"> </w:t>
      </w:r>
      <w:r>
        <w:rPr>
          <w:rFonts w:ascii="Times New Roman" w:hAnsi="Times New Roman"/>
          <w:color w:val="000000"/>
          <w:sz w:val="24"/>
        </w:rPr>
        <w:t>. This Warrant may be modified or amended or the provisions hereof waived with the written consent of the Company and the Holder.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w:t>
      </w:r>
    </w:p>
    <w:p>
      <w:pPr>
        <w:pStyle w:val="TextBody"/>
        <w:bidi w:val="0"/>
        <w:spacing w:before="240" w:after="283"/>
        <w:jc w:val="both"/>
        <w:rPr/>
      </w:pPr>
      <w:r>
        <w:rPr>
          <w:rFonts w:ascii="Times New Roman" w:hAnsi="Times New Roman"/>
          <w:color w:val="000000"/>
          <w:sz w:val="24"/>
          <w:u w:val="single"/>
        </w:rPr>
        <w:t>Severability</w:t>
      </w:r>
      <w:r>
        <w:rPr>
          <w:color w:val="000000"/>
        </w:rPr>
        <w:t xml:space="preserve"> </w:t>
      </w:r>
      <w:r>
        <w:rPr>
          <w:rFonts w:ascii="Times New Roman" w:hAnsi="Times New Roman"/>
          <w:color w:val="000000"/>
          <w:sz w:val="24"/>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w:t>
      </w:r>
    </w:p>
    <w:p>
      <w:pPr>
        <w:pStyle w:val="TextBody"/>
        <w:bidi w:val="0"/>
        <w:spacing w:before="240" w:after="283"/>
        <w:jc w:val="both"/>
        <w:rPr/>
      </w:pPr>
      <w:r>
        <w:rPr>
          <w:rFonts w:ascii="Times New Roman" w:hAnsi="Times New Roman"/>
          <w:color w:val="000000"/>
          <w:sz w:val="24"/>
          <w:u w:val="single"/>
        </w:rPr>
        <w:t>Headings</w:t>
      </w:r>
      <w:r>
        <w:rPr>
          <w:color w:val="000000"/>
        </w:rPr>
        <w:t xml:space="preserve"> </w:t>
      </w:r>
      <w:r>
        <w:rPr>
          <w:rFonts w:ascii="Times New Roman" w:hAnsi="Times New Roman"/>
          <w:color w:val="000000"/>
          <w:sz w:val="24"/>
        </w:rPr>
        <w:t>. The headings used in this Warrant are for the convenience of reference only and shall not, for any purpose, be deemed a part of this Warrant.</w:t>
      </w:r>
    </w:p>
    <w:p>
      <w:pPr>
        <w:pStyle w:val="TextBody"/>
        <w:bidi w:val="0"/>
        <w:spacing w:before="240" w:after="283"/>
        <w:jc w:val="center"/>
        <w:rPr>
          <w:rFonts w:ascii="Times New Roman" w:hAnsi="Times New Roman"/>
          <w:color w:val="000000"/>
          <w:sz w:val="24"/>
        </w:rPr>
      </w:pPr>
      <w:bookmarkStart w:id="46" w:name="sty_hc_03"/>
      <w:bookmarkEnd w:id="46"/>
      <w:r>
        <w:rPr>
          <w:rFonts w:ascii="Times New Roman" w:hAnsi="Times New Roman"/>
          <w:color w:val="000000"/>
          <w:sz w:val="24"/>
        </w:rPr>
        <w:t>********************</w:t>
      </w:r>
    </w:p>
    <w:p>
      <w:pPr>
        <w:pStyle w:val="TextBody"/>
        <w:bidi w:val="0"/>
        <w:spacing w:before="240" w:after="283"/>
        <w:jc w:val="center"/>
        <w:rPr>
          <w:rFonts w:ascii="Times New Roman" w:hAnsi="Times New Roman"/>
          <w:i/>
          <w:color w:val="000000"/>
          <w:sz w:val="24"/>
        </w:rPr>
      </w:pPr>
      <w:bookmarkStart w:id="47" w:name="sty_hlbi_03"/>
      <w:bookmarkEnd w:id="47"/>
      <w:r>
        <w:rPr>
          <w:rFonts w:ascii="Times New Roman" w:hAnsi="Times New Roman"/>
          <w:i/>
          <w:color w:val="000000"/>
          <w:sz w:val="24"/>
        </w:rPr>
        <w:t>(Signature Page Follows)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IN WITNESS WHEREOF, the Company has caused this Warrant to be executed by its officer thereunto duly authorized as of the date first above indicated.</w:t>
      </w:r>
    </w:p>
    <w:p>
      <w:pPr>
        <w:pStyle w:val="TextBody"/>
        <w:bidi w:val="0"/>
        <w:jc w:val="center"/>
        <w:rPr/>
      </w:pPr>
      <w:r>
        <w:rPr/>
        <w:t> </w:t>
      </w:r>
    </w:p>
    <w:tbl>
      <w:tblPr>
        <w:tblW w:w="4772" w:type="dxa"/>
        <w:jc w:val="left"/>
        <w:tblInd w:w="0" w:type="dxa"/>
        <w:tblLayout w:type="fixed"/>
        <w:tblCellMar>
          <w:top w:w="28" w:type="dxa"/>
          <w:left w:w="28" w:type="dxa"/>
          <w:bottom w:w="28" w:type="dxa"/>
          <w:right w:w="28" w:type="dxa"/>
        </w:tblCellMar>
      </w:tblPr>
      <w:tblGrid>
        <w:gridCol w:w="466"/>
        <w:gridCol w:w="4306"/>
      </w:tblGrid>
      <w:tr>
        <w:trPr/>
        <w:tc>
          <w:tcPr>
            <w:tcW w:w="466"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477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ASSEMBLY BIOSCIENCES, INC.</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43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Jason A. Okazaki</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Jason A. Okazaki</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Chief Executive Officer and President</w:t>
            </w:r>
          </w:p>
        </w:tc>
      </w:tr>
    </w:tbl>
    <w:p>
      <w:pPr>
        <w:pStyle w:val="TextBody"/>
        <w:bidi w:val="0"/>
        <w:jc w:val="center"/>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NOTICE OF EXERCISE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Assembly Biosciences, Inc.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Payment shall take the form of (check applicable box):</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 in lawful money of the United States;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 if permitted the cancellation of such number of Warrant Shares as is necessary, in accordance with the formula set forth in subsection 1(c), to exercise this Warrant with respect to the maximum number of Warrant Shares purchasable pursuant to the cashless exercise procedure set forth in subsection 1(c).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Please issue said Warrant Shares in the name of the undersigned or in such other name as is specified below:</w:t>
      </w:r>
    </w:p>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Warrant Shares shall be delivered to the following DWAC Account Number:</w:t>
      </w:r>
    </w:p>
    <w:p>
      <w:pPr>
        <w:pStyle w:val="TextBody"/>
        <w:bidi w:val="0"/>
        <w:jc w:val="both"/>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By its delivery of this Notice of Exercise, the undersigned represents and warrants to the Company that in giving effect to the exercise evidenced hereby the Holders will not beneficially own in excess of the number of shares of Common Stock permitted to be owned under Section 1(e) of the Warrant to which this notice relates.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[SIGNATURE OF HOLDER]</w:t>
      </w:r>
    </w:p>
    <w:p>
      <w:pPr>
        <w:pStyle w:val="TextBody"/>
        <w:bidi w:val="0"/>
        <w:jc w:val="both"/>
        <w:rPr/>
      </w:pPr>
      <w:r>
        <w:rPr/>
        <w:t> </w:t>
      </w:r>
    </w:p>
    <w:tbl>
      <w:tblPr>
        <w:tblW w:w="2757" w:type="dxa"/>
        <w:jc w:val="left"/>
        <w:tblInd w:w="0" w:type="dxa"/>
        <w:tblLayout w:type="fixed"/>
        <w:tblCellMar>
          <w:top w:w="28" w:type="dxa"/>
          <w:left w:w="28" w:type="dxa"/>
          <w:bottom w:w="28" w:type="dxa"/>
          <w:right w:w="28" w:type="dxa"/>
        </w:tblCellMar>
      </w:tblPr>
      <w:tblGrid>
        <w:gridCol w:w="2566"/>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of Investing Entity:</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442" w:type="dxa"/>
        <w:jc w:val="left"/>
        <w:tblInd w:w="0" w:type="dxa"/>
        <w:tblLayout w:type="fixed"/>
        <w:tblCellMar>
          <w:top w:w="28" w:type="dxa"/>
          <w:left w:w="28" w:type="dxa"/>
          <w:bottom w:w="28" w:type="dxa"/>
          <w:right w:w="28" w:type="dxa"/>
        </w:tblCellMar>
      </w:tblPr>
      <w:tblGrid>
        <w:gridCol w:w="5251"/>
        <w:gridCol w:w="191"/>
      </w:tblGrid>
      <w:tr>
        <w:trPr/>
        <w:tc>
          <w:tcPr>
            <w:tcW w:w="52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Signature of Authorized Signatory of Investing Entity:</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3297" w:type="dxa"/>
        <w:jc w:val="left"/>
        <w:tblInd w:w="0" w:type="dxa"/>
        <w:tblLayout w:type="fixed"/>
        <w:tblCellMar>
          <w:top w:w="28" w:type="dxa"/>
          <w:left w:w="28" w:type="dxa"/>
          <w:bottom w:w="28" w:type="dxa"/>
          <w:right w:w="28" w:type="dxa"/>
        </w:tblCellMar>
      </w:tblPr>
      <w:tblGrid>
        <w:gridCol w:w="3106"/>
        <w:gridCol w:w="191"/>
      </w:tblGrid>
      <w:tr>
        <w:trPr/>
        <w:tc>
          <w:tcPr>
            <w:tcW w:w="31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of Authorized Signatory:</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3162" w:type="dxa"/>
        <w:jc w:val="left"/>
        <w:tblInd w:w="0" w:type="dxa"/>
        <w:tblLayout w:type="fixed"/>
        <w:tblCellMar>
          <w:top w:w="28" w:type="dxa"/>
          <w:left w:w="28" w:type="dxa"/>
          <w:bottom w:w="28" w:type="dxa"/>
          <w:right w:w="28" w:type="dxa"/>
        </w:tblCellMar>
      </w:tblPr>
      <w:tblGrid>
        <w:gridCol w:w="2971"/>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of Authorized Signatory:</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22" w:type="dxa"/>
        <w:jc w:val="left"/>
        <w:tblInd w:w="0" w:type="dxa"/>
        <w:tblLayout w:type="fixed"/>
        <w:tblCellMar>
          <w:top w:w="28" w:type="dxa"/>
          <w:left w:w="28" w:type="dxa"/>
          <w:bottom w:w="28" w:type="dxa"/>
          <w:right w:w="28" w:type="dxa"/>
        </w:tblCellMar>
      </w:tblPr>
      <w:tblGrid>
        <w:gridCol w:w="631"/>
        <w:gridCol w:w="191"/>
      </w:tblGrid>
      <w:tr>
        <w:trPr/>
        <w:tc>
          <w:tcPr>
            <w:tcW w:w="6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ASSIGNMENT FORM</w:t>
      </w:r>
    </w:p>
    <w:p>
      <w:pPr>
        <w:pStyle w:val="TextBody"/>
        <w:bidi w:val="0"/>
        <w:spacing w:before="240" w:after="283"/>
        <w:jc w:val="center"/>
        <w:rPr>
          <w:rFonts w:ascii="Times New Roman" w:hAnsi="Times New Roman"/>
          <w:i/>
          <w:color w:val="000000"/>
          <w:sz w:val="24"/>
        </w:rPr>
      </w:pPr>
      <w:bookmarkStart w:id="48" w:name="sty_hli_03"/>
      <w:bookmarkEnd w:id="48"/>
      <w:r>
        <w:rPr>
          <w:rFonts w:ascii="Times New Roman" w:hAnsi="Times New Roman"/>
          <w:i/>
          <w:color w:val="000000"/>
          <w:sz w:val="24"/>
        </w:rPr>
        <w:t>(To assign the foregoing Warrant, execute this form and supply required information. Do not use this form to purchase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VALUE RECEIVED, the foregoing Warrant and all rights evidenced thereby are hereby assigned to</w:t>
      </w:r>
    </w:p>
    <w:p>
      <w:pPr>
        <w:pStyle w:val="TextBody"/>
        <w:bidi w:val="0"/>
        <w:jc w:val="left"/>
        <w:rPr/>
      </w:pPr>
      <w:r>
        <w:rPr/>
        <w:t> </w:t>
      </w:r>
    </w:p>
    <w:tbl>
      <w:tblPr>
        <w:tblW w:w="3324" w:type="dxa"/>
        <w:jc w:val="left"/>
        <w:tblInd w:w="0" w:type="dxa"/>
        <w:tblLayout w:type="fixed"/>
        <w:tblCellMar>
          <w:top w:w="28" w:type="dxa"/>
          <w:left w:w="28" w:type="dxa"/>
          <w:bottom w:w="28" w:type="dxa"/>
          <w:right w:w="28" w:type="dxa"/>
        </w:tblCellMar>
      </w:tblPr>
      <w:tblGrid>
        <w:gridCol w:w="811"/>
        <w:gridCol w:w="146"/>
        <w:gridCol w:w="146"/>
        <w:gridCol w:w="146"/>
        <w:gridCol w:w="226"/>
        <w:gridCol w:w="146"/>
        <w:gridCol w:w="146"/>
        <w:gridCol w:w="146"/>
        <w:gridCol w:w="1411"/>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1767" w:type="dxa"/>
            <w:gridSpan w:val="7"/>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67" w:type="dxa"/>
            <w:gridSpan w:val="7"/>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60" w:after="283"/>
              <w:jc w:val="both"/>
              <w:rPr>
                <w:rFonts w:ascii="Times New Roman" w:hAnsi="Times New Roman"/>
                <w:color w:val="000000"/>
                <w:sz w:val="24"/>
              </w:rPr>
            </w:pPr>
            <w:r>
              <w:rPr>
                <w:rFonts w:ascii="Times New Roman" w:hAnsi="Times New Roman"/>
                <w:color w:val="000000"/>
                <w:sz w:val="24"/>
              </w:rPr>
              <w:t>(Please Print)</w:t>
            </w:r>
          </w:p>
        </w:tc>
      </w:tr>
      <w:tr>
        <w:trPr/>
        <w:tc>
          <w:tcPr>
            <w:tcW w:w="1767" w:type="dxa"/>
            <w:gridSpan w:val="7"/>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767" w:type="dxa"/>
            <w:gridSpan w:val="7"/>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Address: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67" w:type="dxa"/>
            <w:gridSpan w:val="7"/>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60" w:after="283"/>
              <w:jc w:val="both"/>
              <w:rPr>
                <w:rFonts w:ascii="Times New Roman" w:hAnsi="Times New Roman"/>
                <w:color w:val="000000"/>
                <w:sz w:val="24"/>
              </w:rPr>
            </w:pPr>
            <w:r>
              <w:rPr>
                <w:rFonts w:ascii="Times New Roman" w:hAnsi="Times New Roman"/>
                <w:color w:val="000000"/>
                <w:sz w:val="24"/>
              </w:rPr>
              <w:t>(Please Print)</w:t>
            </w:r>
          </w:p>
        </w:tc>
      </w:tr>
      <w:tr>
        <w:trPr/>
        <w:tc>
          <w:tcPr>
            <w:tcW w:w="1767" w:type="dxa"/>
            <w:gridSpan w:val="7"/>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767" w:type="dxa"/>
            <w:gridSpan w:val="7"/>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Phone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67" w:type="dxa"/>
            <w:gridSpan w:val="7"/>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767" w:type="dxa"/>
            <w:gridSpan w:val="7"/>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xml:space="preserve">Email Address: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xml:space="preserve">Dated: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2303" w:type="dxa"/>
        <w:jc w:val="left"/>
        <w:tblInd w:w="0" w:type="dxa"/>
        <w:tblLayout w:type="fixed"/>
        <w:tblCellMar>
          <w:top w:w="28" w:type="dxa"/>
          <w:left w:w="28" w:type="dxa"/>
          <w:bottom w:w="28" w:type="dxa"/>
          <w:right w:w="28" w:type="dxa"/>
        </w:tblCellMar>
      </w:tblPr>
      <w:tblGrid>
        <w:gridCol w:w="1966"/>
        <w:gridCol w:w="146"/>
        <w:gridCol w:w="19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Holder’s Signature: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2183" w:type="dxa"/>
        <w:jc w:val="left"/>
        <w:tblInd w:w="0" w:type="dxa"/>
        <w:tblLayout w:type="fixed"/>
        <w:tblCellMar>
          <w:top w:w="28" w:type="dxa"/>
          <w:left w:w="28" w:type="dxa"/>
          <w:bottom w:w="28" w:type="dxa"/>
          <w:right w:w="28" w:type="dxa"/>
        </w:tblCellMar>
      </w:tblPr>
      <w:tblGrid>
        <w:gridCol w:w="1846"/>
        <w:gridCol w:w="146"/>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Holder’s Address: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9" w:name="asmb-ex4_5.htm"/>
      <w:bookmarkStart w:id="50" w:name="ksasmbex4_5"/>
      <w:bookmarkEnd w:id="49"/>
      <w:bookmarkEnd w:id="50"/>
      <w:r>
        <w:rPr/>
        <w:t> </w:t>
      </w:r>
      <w:r>
        <w:br w:type="page"/>
      </w:r>
    </w:p>
    <w:p>
      <w:pPr>
        <w:pStyle w:val="TextBody"/>
        <w:bidi w:val="0"/>
        <w:jc w:val="right"/>
        <w:rPr>
          <w:rFonts w:ascii="Times New Roman" w:hAnsi="Times New Roman"/>
          <w:b/>
          <w:color w:val="000000"/>
          <w:sz w:val="24"/>
        </w:rPr>
      </w:pPr>
      <w:bookmarkStart w:id="51" w:name="sty_ht1_04"/>
      <w:bookmarkEnd w:id="51"/>
      <w:r>
        <w:rPr>
          <w:rFonts w:ascii="Times New Roman" w:hAnsi="Times New Roman"/>
          <w:b/>
          <w:color w:val="000000"/>
          <w:sz w:val="24"/>
        </w:rPr>
        <w:t>Exhibit 4.5</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COMMON STOCK PURCHASE WARRANT</w:t>
      </w:r>
    </w:p>
    <w:p>
      <w:pPr>
        <w:pStyle w:val="TextBody"/>
        <w:bidi w:val="0"/>
        <w:spacing w:before="240" w:after="283"/>
        <w:jc w:val="center"/>
        <w:rPr>
          <w:rFonts w:ascii="Times New Roman" w:hAnsi="Times New Roman"/>
          <w:b/>
          <w:color w:val="000000"/>
          <w:sz w:val="24"/>
        </w:rPr>
      </w:pPr>
      <w:bookmarkStart w:id="52" w:name="sty_ht1_14"/>
      <w:bookmarkEnd w:id="52"/>
      <w:r>
        <w:rPr>
          <w:rFonts w:ascii="Times New Roman" w:hAnsi="Times New Roman"/>
          <w:b/>
          <w:color w:val="000000"/>
          <w:sz w:val="24"/>
        </w:rPr>
        <w:t>ASSEMBLY BIOSCIENCES, INC.</w:t>
      </w:r>
    </w:p>
    <w:p>
      <w:pPr>
        <w:pStyle w:val="TextBody"/>
        <w:bidi w:val="0"/>
        <w:jc w:val="both"/>
        <w:rPr/>
      </w:pPr>
      <w:r>
        <w:rPr/>
        <w:t> </w:t>
      </w:r>
    </w:p>
    <w:tbl>
      <w:tblPr>
        <w:tblW w:w="6752" w:type="dxa"/>
        <w:jc w:val="left"/>
        <w:tblInd w:w="0" w:type="dxa"/>
        <w:tblLayout w:type="fixed"/>
        <w:tblCellMar>
          <w:top w:w="28" w:type="dxa"/>
          <w:left w:w="28" w:type="dxa"/>
          <w:bottom w:w="28" w:type="dxa"/>
          <w:right w:w="28" w:type="dxa"/>
        </w:tblCellMar>
      </w:tblPr>
      <w:tblGrid>
        <w:gridCol w:w="2656"/>
        <w:gridCol w:w="4096"/>
      </w:tblGrid>
      <w:tr>
        <w:trPr/>
        <w:tc>
          <w:tcPr>
            <w:tcW w:w="2656"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Warrant Shares: 1,147,960</w:t>
            </w:r>
          </w:p>
        </w:tc>
        <w:tc>
          <w:tcPr>
            <w:tcW w:w="4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Initial Exercise Date: November 15, 2026</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THIS COMMON STOCK PURCHASE WARRANT (the “</w:t>
      </w:r>
      <w:r>
        <w:rPr>
          <w:rFonts w:ascii="Times New Roman" w:hAnsi="Times New Roman"/>
          <w:color w:val="000000"/>
          <w:sz w:val="24"/>
          <w:u w:val="single"/>
        </w:rPr>
        <w:t>Warrant</w:t>
      </w:r>
      <w:r>
        <w:rPr>
          <w:rFonts w:ascii="Times New Roman" w:hAnsi="Times New Roman"/>
          <w:color w:val="000000"/>
          <w:sz w:val="20"/>
        </w:rPr>
        <w:t>”</w:t>
      </w:r>
      <w:r>
        <w:rPr>
          <w:rFonts w:ascii="Times New Roman" w:hAnsi="Times New Roman"/>
          <w:color w:val="000000"/>
          <w:sz w:val="24"/>
        </w:rPr>
        <w:t>) certifies that, for value received, Gilead Sciences, Inc. or its assigns (the “</w:t>
      </w:r>
      <w:r>
        <w:rPr>
          <w:rFonts w:ascii="Times New Roman" w:hAnsi="Times New Roman"/>
          <w:color w:val="000000"/>
          <w:sz w:val="24"/>
          <w:u w:val="single"/>
        </w:rPr>
        <w:t>Holder</w:t>
      </w:r>
      <w:r>
        <w:rPr>
          <w:rFonts w:ascii="Times New Roman" w:hAnsi="Times New Roman"/>
          <w:color w:val="000000"/>
          <w:sz w:val="20"/>
        </w:rPr>
        <w:t>”</w:t>
      </w:r>
      <w:r>
        <w:rPr>
          <w:rFonts w:ascii="Times New Roman" w:hAnsi="Times New Roman"/>
          <w:color w:val="000000"/>
          <w:sz w:val="24"/>
        </w:rPr>
        <w:t>) is entitled, upon the terms and subject to the limitations on exercise and the conditions hereinafter set forth, at any time on or after November 15, 2026 (the “</w:t>
      </w:r>
      <w:r>
        <w:rPr>
          <w:rFonts w:ascii="Times New Roman" w:hAnsi="Times New Roman"/>
          <w:color w:val="000000"/>
          <w:sz w:val="24"/>
          <w:u w:val="single"/>
        </w:rPr>
        <w:t>Initial Exercise Date</w:t>
      </w:r>
      <w:r>
        <w:rPr>
          <w:rFonts w:ascii="Times New Roman" w:hAnsi="Times New Roman"/>
          <w:color w:val="000000"/>
          <w:sz w:val="20"/>
        </w:rPr>
        <w:t>”</w:t>
      </w:r>
      <w:r>
        <w:rPr>
          <w:rFonts w:ascii="Times New Roman" w:hAnsi="Times New Roman"/>
          <w:color w:val="000000"/>
          <w:sz w:val="24"/>
        </w:rPr>
        <w:t>) and on or prior to December 31, 2026, provided that, if such date falls on a day other than a Trading Day, the next day (the “</w:t>
      </w:r>
      <w:r>
        <w:rPr>
          <w:rFonts w:ascii="Times New Roman" w:hAnsi="Times New Roman"/>
          <w:color w:val="000000"/>
          <w:sz w:val="24"/>
          <w:u w:val="single"/>
        </w:rPr>
        <w:t>Termination Date</w:t>
      </w:r>
      <w:r>
        <w:rPr>
          <w:rFonts w:ascii="Times New Roman" w:hAnsi="Times New Roman"/>
          <w:color w:val="000000"/>
          <w:sz w:val="20"/>
        </w:rPr>
        <w:t>”</w:t>
      </w:r>
      <w:r>
        <w:rPr>
          <w:rFonts w:ascii="Times New Roman" w:hAnsi="Times New Roman"/>
          <w:color w:val="000000"/>
          <w:sz w:val="24"/>
        </w:rPr>
        <w:t>) but not thereafter, to subscribe for and purchase from Assembly Biosciences,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up to 1,147,960 shares (as subject to adjustment hereunder, the “</w:t>
      </w:r>
      <w:r>
        <w:rPr>
          <w:rFonts w:ascii="Times New Roman" w:hAnsi="Times New Roman"/>
          <w:color w:val="000000"/>
          <w:sz w:val="24"/>
          <w:u w:val="single"/>
        </w:rPr>
        <w:t>Warrant Shares</w:t>
      </w:r>
      <w:r>
        <w:rPr>
          <w:rFonts w:ascii="Times New Roman" w:hAnsi="Times New Roman"/>
          <w:color w:val="000000"/>
          <w:sz w:val="20"/>
        </w:rPr>
        <w:t>”</w:t>
      </w:r>
      <w:r>
        <w:rPr>
          <w:rFonts w:ascii="Times New Roman" w:hAnsi="Times New Roman"/>
          <w:color w:val="000000"/>
          <w:sz w:val="24"/>
        </w:rPr>
        <w:t>) of common stock, par value $0.001 per share, of the Company (the “</w:t>
      </w:r>
      <w:r>
        <w:rPr>
          <w:rFonts w:ascii="Times New Roman" w:hAnsi="Times New Roman"/>
          <w:color w:val="000000"/>
          <w:sz w:val="24"/>
          <w:u w:val="single"/>
        </w:rPr>
        <w:t>Common Stock</w:t>
      </w:r>
      <w:r>
        <w:rPr>
          <w:rFonts w:ascii="Times New Roman" w:hAnsi="Times New Roman"/>
          <w:color w:val="000000"/>
          <w:sz w:val="20"/>
        </w:rPr>
        <w:t>”</w:t>
      </w:r>
      <w:r>
        <w:rPr>
          <w:rFonts w:ascii="Times New Roman" w:hAnsi="Times New Roman"/>
          <w:color w:val="000000"/>
          <w:sz w:val="24"/>
        </w:rPr>
        <w:t>). Notwithstanding the foregoing, in the event that, prior to the Initial Exercise Date, the Company publicly announces that it has received at least $75.0 million in the aggregate of non-dilutive capital in connection with a collaboration agreement, then on the date of such public announcement the Warrant shall automatically terminate in full and be extinguished and shall no longer be exercisable. The purchase price of one share of Common Stock under this Warrant shall be equal to the Exercise Price, as defined in Section 2(b).</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1. </w:t>
      </w:r>
      <w:r>
        <w:rPr>
          <w:rFonts w:ascii="Times New Roman" w:hAnsi="Times New Roman"/>
          <w:color w:val="000000"/>
          <w:sz w:val="24"/>
          <w:u w:val="single"/>
        </w:rPr>
        <w:t>Exercise.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Exercise of Warrant</w:t>
      </w:r>
      <w:r>
        <w:rPr>
          <w:rFonts w:ascii="Times New Roman" w:hAnsi="Times New Roman"/>
          <w:color w:val="000000"/>
          <w:sz w:val="24"/>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Times New Roman" w:hAnsi="Times New Roman"/>
          <w:color w:val="000000"/>
          <w:sz w:val="24"/>
          <w:u w:val="single"/>
        </w:rPr>
        <w:t>Notice of Exercise</w:t>
      </w:r>
      <w:r>
        <w:rPr>
          <w:color w:val="000000"/>
        </w:rPr>
        <w:t>”</w:t>
      </w:r>
      <w:r>
        <w:rPr>
          <w:rFonts w:ascii="Times New Roman" w:hAnsi="Times New Roman"/>
          <w:color w:val="000000"/>
          <w:sz w:val="24"/>
        </w:rPr>
        <w:t xml:space="preserve">). Within the earlier of (i) one (1) Trading Day (as defined below) and (ii) the number of Trading Days comprising the Standard Settlement Period (as defined in Section 1(d)(i)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1(c) below is specified in the applicable Notice of Exercise. No ink-original Notice of Exercise shall be required, nor shall any medallion guarantee (or other type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 xml:space="preserve">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its receipt of such notice. </w:t>
      </w:r>
      <w:r>
        <w:rPr>
          <w:rFonts w:ascii="Times New Roman" w:hAnsi="Times New Roman"/>
          <w:b/>
          <w:color w:val="000000"/>
          <w:sz w:val="24"/>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Exercise Price</w:t>
      </w:r>
      <w:r>
        <w:rPr>
          <w:rFonts w:ascii="Times New Roman" w:hAnsi="Times New Roman"/>
          <w:color w:val="000000"/>
          <w:sz w:val="24"/>
        </w:rPr>
        <w:t>. The exercise price per share of Common Stock under this Warrant shall be $21.60, subject to adjustment hereunder (the “</w:t>
      </w:r>
      <w:r>
        <w:rPr>
          <w:rFonts w:ascii="Times New Roman" w:hAnsi="Times New Roman"/>
          <w:color w:val="000000"/>
          <w:sz w:val="24"/>
          <w:u w:val="single"/>
        </w:rPr>
        <w:t>Exercise Price</w:t>
      </w:r>
      <w:r>
        <w:rPr>
          <w:color w:val="00000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Cashless Exercise</w:t>
      </w:r>
      <w:r>
        <w:rPr>
          <w:rFonts w:ascii="Times New Roman" w:hAnsi="Times New Roman"/>
          <w:color w:val="000000"/>
          <w:sz w:val="24"/>
        </w:rPr>
        <w:t>. If at the time of exercise of this Warrant there is no effective registration statement registering, or the prospectus contained therein is not available for, or an exemption from registration is not available for, the issuance of the Warrant Shares,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before="240" w:after="283"/>
        <w:jc w:val="both"/>
        <w:rPr>
          <w:rFonts w:ascii="Times New Roman" w:hAnsi="Times New Roman"/>
          <w:sz w:val="20"/>
        </w:rPr>
      </w:pPr>
      <w:r>
        <w:rPr>
          <w:rFonts w:ascii="Times New Roman" w:hAnsi="Times New Roman"/>
          <w:color w:val="000000"/>
          <w:sz w:val="24"/>
        </w:rPr>
        <w:t>(A) = as applicable: (i) the VWAP on the Trading Day immediately preceding the date of the applicable Notice of Exercise if such Notice of Exercise is (1) both executed and delivered pursuant to Section 1(a) hereof on a day that is not a Trading Day or (2) both executed and delivered pursuant to Section 1(a)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hAnsi="Times New Roman"/>
          <w:color w:val="000000"/>
          <w:sz w:val="24"/>
          <w:u w:val="single"/>
        </w:rPr>
        <w:t>Bloomberg</w:t>
      </w:r>
      <w:r>
        <w:rPr>
          <w:rFonts w:ascii="Times New Roman" w:hAnsi="Times New Roman"/>
          <w:color w:val="000000"/>
          <w:sz w:val="20"/>
        </w:rPr>
        <w:t>”</w:t>
      </w:r>
      <w:r>
        <w:rPr>
          <w:rFonts w:ascii="Times New Roman" w:hAnsi="Times New Roman"/>
          <w:color w:val="000000"/>
          <w:sz w:val="24"/>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1(a) hereof or (iii) the VWAP on the date of the applicable Notice of Exercise if the date of such Notice of Exercise is a Trading Day and such Notice of Exercise is both executed and delivered pursuant to Section 1(a) hereof after the close of “regular trading hours” on such Trading Day;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(B) = the Exercise Price of this Warrant, as adjusted hereunder; and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 = the number of Warrant Shares that would be issuable upon exercise of this Warrant in accordance with the terms of this Warrant if such exercise were by means of a cash exercise rather than a cashless exercise.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by such Holder to the holding period of such Holder of this Warrant. The Company agrees not to take any position contrary to this paragraph.</w:t>
      </w:r>
    </w:p>
    <w:p>
      <w:pPr>
        <w:pStyle w:val="TextBody"/>
        <w:bidi w:val="0"/>
        <w:spacing w:before="240" w:after="283"/>
        <w:jc w:val="both"/>
        <w:rPr/>
      </w:pPr>
      <w:r>
        <w:rPr>
          <w:color w:val="000000"/>
        </w:rPr>
        <w:t>“</w:t>
      </w:r>
      <w:r>
        <w:rPr>
          <w:rFonts w:ascii="Times New Roman" w:hAnsi="Times New Roman"/>
          <w:color w:val="000000"/>
          <w:sz w:val="24"/>
          <w:u w:val="single"/>
        </w:rPr>
        <w:t>Bid Price</w:t>
      </w:r>
      <w:r>
        <w:rPr>
          <w:rFonts w:ascii="Times New Roman" w:hAnsi="Times New Roman"/>
          <w:color w:val="000000"/>
          <w:sz w:val="20"/>
        </w:rPr>
        <w:t xml:space="preserve">” </w:t>
      </w:r>
      <w:r>
        <w:rPr>
          <w:rFonts w:ascii="Times New Roman" w:hAnsi="Times New Roman"/>
          <w:color w:val="000000"/>
          <w:sz w:val="24"/>
        </w:rPr>
        <w:t>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the Board of Directors of the Company in good faith.</w:t>
      </w:r>
    </w:p>
    <w:p>
      <w:pPr>
        <w:pStyle w:val="TextBody"/>
        <w:bidi w:val="0"/>
        <w:spacing w:before="240" w:after="283"/>
        <w:jc w:val="both"/>
        <w:rPr/>
      </w:pPr>
      <w:r>
        <w:rPr>
          <w:color w:val="000000"/>
        </w:rPr>
        <w:t>“</w:t>
      </w:r>
      <w:r>
        <w:rPr>
          <w:rFonts w:ascii="Times New Roman" w:hAnsi="Times New Roman"/>
          <w:color w:val="000000"/>
          <w:sz w:val="24"/>
          <w:u w:val="single"/>
        </w:rPr>
        <w:t>Trading Day</w:t>
      </w:r>
      <w:r>
        <w:rPr>
          <w:rFonts w:ascii="Times New Roman" w:hAnsi="Times New Roman"/>
          <w:color w:val="000000"/>
          <w:sz w:val="20"/>
        </w:rPr>
        <w:t xml:space="preserve">” </w:t>
      </w:r>
      <w:r>
        <w:rPr>
          <w:rFonts w:ascii="Times New Roman" w:hAnsi="Times New Roman"/>
          <w:color w:val="000000"/>
          <w:sz w:val="24"/>
        </w:rPr>
        <w:t>means a day on which the principal Trading Market is open for trading.</w:t>
      </w:r>
    </w:p>
    <w:p>
      <w:pPr>
        <w:pStyle w:val="TextBody"/>
        <w:bidi w:val="0"/>
        <w:spacing w:before="240" w:after="283"/>
        <w:jc w:val="both"/>
        <w:rPr/>
      </w:pPr>
      <w:r>
        <w:rPr>
          <w:color w:val="000000"/>
        </w:rPr>
        <w:t>“</w:t>
      </w:r>
      <w:r>
        <w:rPr>
          <w:rFonts w:ascii="Times New Roman" w:hAnsi="Times New Roman"/>
          <w:color w:val="000000"/>
          <w:sz w:val="24"/>
          <w:u w:val="single"/>
        </w:rPr>
        <w:t>Trading Market</w:t>
      </w:r>
      <w:r>
        <w:rPr>
          <w:rFonts w:ascii="Times New Roman" w:hAnsi="Times New Roman"/>
          <w:color w:val="000000"/>
          <w:sz w:val="20"/>
        </w:rPr>
        <w:t xml:space="preserve">” </w:t>
      </w:r>
      <w:r>
        <w:rPr>
          <w:rFonts w:ascii="Times New Roman" w:hAnsi="Times New Roman"/>
          <w:color w:val="000000"/>
          <w:sz w:val="24"/>
        </w:rPr>
        <w:t>means any of the following markets or exchanges on which the Common Stock is listed or quoted for trading on the date in question: the NYSE American, the Nasdaq Capital Market, the Nasdaq Global Market, the Nasdaq Global Select Market, the New York Stock Exchange, the OTCQB or the OTCQX (or any successors to any of the foregoing).</w:t>
      </w:r>
    </w:p>
    <w:p>
      <w:pPr>
        <w:pStyle w:val="TextBody"/>
        <w:bidi w:val="0"/>
        <w:spacing w:before="240" w:after="283"/>
        <w:jc w:val="both"/>
        <w:rPr/>
      </w:pPr>
      <w:r>
        <w:rPr>
          <w:color w:val="000000"/>
        </w:rPr>
        <w:t>“</w:t>
      </w:r>
      <w:r>
        <w:rPr>
          <w:rFonts w:ascii="Times New Roman" w:hAnsi="Times New Roman"/>
          <w:color w:val="000000"/>
          <w:sz w:val="24"/>
          <w:u w:val="single"/>
        </w:rPr>
        <w:t>VWAP</w:t>
      </w:r>
      <w:r>
        <w:rPr>
          <w:rFonts w:ascii="Times New Roman" w:hAnsi="Times New Roman"/>
          <w:color w:val="000000"/>
          <w:sz w:val="20"/>
        </w:rPr>
        <w:t xml:space="preserve">” </w:t>
      </w:r>
      <w:r>
        <w:rPr>
          <w:rFonts w:ascii="Times New Roman" w:hAnsi="Times New Roman"/>
          <w:color w:val="000000"/>
          <w:sz w:val="24"/>
        </w:rPr>
        <w:t>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4:00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Open Market (or a similar organization or agency succeeding to its functions of reporting prices), the most recent bid price per share of the Common Stock so reported, or (d) in all other cases, the fair market value of a share of Common Stock as determined by the Board of Directors of the Company in good faith.</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Mechanics of Exercise.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u w:val="single"/>
        </w:rPr>
        <w:t>Delivery of Warrant Shares Upon Exercise</w:t>
      </w:r>
      <w:r>
        <w:rPr>
          <w:rFonts w:ascii="Times New Roman" w:hAnsi="Times New Roman"/>
          <w:color w:val="000000"/>
          <w:sz w:val="24"/>
        </w:rPr>
        <w:t>. The Company shall cause the Warrant Shares purchased hereunder to be delivered by the Transfer Agent to the Holder by crediting the account of the Holder’s or its designee’s balance account with The Depository Trust Company through its Deposit or Withdrawal at Custodian system (“</w:t>
      </w:r>
      <w:r>
        <w:rPr>
          <w:rFonts w:ascii="Times New Roman" w:hAnsi="Times New Roman"/>
          <w:color w:val="000000"/>
          <w:sz w:val="24"/>
          <w:u w:val="single"/>
        </w:rPr>
        <w:t>DWAC</w:t>
      </w:r>
      <w:r>
        <w:rPr>
          <w:color w:val="000000"/>
        </w:rPr>
        <w:t>”</w:t>
      </w:r>
      <w:r>
        <w:rPr>
          <w:rFonts w:ascii="Times New Roman" w:hAnsi="Times New Roman"/>
          <w:color w:val="000000"/>
          <w:sz w:val="24"/>
        </w:rPr>
        <w:t>) if the Company is then a participant in such system and either (A) there is an effective registration statement permitting the issuance of the Warrant Shares to the Holder or resale of the Warrant Shares (and a concurrent resale is being made) by the Holder or (B) the Warrant Shares are eligible for resale by the Holder without volume or manner-of-sale limitations pursuant to Rule 144 (assuming cashless exercise of the Warrants), in each case, subject to the delivery by the Holder to the Company and its counsel and the Transfer Agent of customary representation letters and such other documents as such person may request, and otherwise by physical delivery of a certificate or a book-entry notation, registered in the Company’s share register in the name of the Holder or its designee, for the number of Warrant Shares to which the Holder is entitled pursuant to such exercise to the address specified by the Holder in the Notice of Exercise by the date that is the earliest of (i) one (1) Trading Day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hAnsi="Times New Roman"/>
          <w:color w:val="000000"/>
          <w:sz w:val="24"/>
          <w:u w:val="single"/>
        </w:rPr>
        <w:t>Warrant Share Delivery Date</w:t>
      </w:r>
      <w:r>
        <w:rPr>
          <w:color w:val="000000"/>
        </w:rPr>
        <w:t>”</w:t>
      </w:r>
      <w:r>
        <w:rPr>
          <w:rFonts w:ascii="Times New Roman" w:hAnsi="Times New Roman"/>
          <w:color w:val="000000"/>
          <w:sz w:val="24"/>
        </w:rPr>
        <w:t>). Upon delivery of the Notice of Exercise to the Company,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to the Company.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hAnsi="Times New Roman"/>
          <w:color w:val="000000"/>
          <w:sz w:val="24"/>
          <w:u w:val="single"/>
        </w:rPr>
        <w:t>Standard Settlement Period</w:t>
      </w:r>
      <w:r>
        <w:rPr>
          <w:color w:val="000000"/>
        </w:rPr>
        <w:t xml:space="preserve">” </w:t>
      </w:r>
      <w:r>
        <w:rPr>
          <w:rFonts w:ascii="Times New Roman" w:hAnsi="Times New Roman"/>
          <w:color w:val="000000"/>
          <w:sz w:val="24"/>
        </w:rPr>
        <w:t>means the standard settlement period, expressed in a number of Trading Days, on the Company’s primary Trading Market with respect to the Common Stock as in effect on the date of delivery of the Notice of Exercise to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pPr>
      <w:r>
        <w:rPr>
          <w:rFonts w:ascii="Times New Roman" w:hAnsi="Times New Roman"/>
          <w:color w:val="000000"/>
          <w:sz w:val="24"/>
          <w:u w:val="single"/>
        </w:rPr>
        <w:t>Delivery of New Warrants Upon Exercise</w:t>
      </w:r>
      <w:r>
        <w:rPr>
          <w:rFonts w:ascii="Times New Roman" w:hAnsi="Times New Roman"/>
          <w:color w:val="000000"/>
          <w:sz w:val="24"/>
        </w:rPr>
        <w:t xml:space="preserve">.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Shares called for by this Warrant, which new Warrant shall in all other respects be identical with this Warrant.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pPr>
      <w:r>
        <w:rPr>
          <w:rFonts w:ascii="Times New Roman" w:hAnsi="Times New Roman"/>
          <w:color w:val="000000"/>
          <w:sz w:val="24"/>
          <w:u w:val="single"/>
        </w:rPr>
        <w:t>Rescission Rights</w:t>
      </w:r>
      <w:r>
        <w:rPr>
          <w:rFonts w:ascii="Times New Roman" w:hAnsi="Times New Roman"/>
          <w:color w:val="000000"/>
          <w:sz w:val="24"/>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pPr>
      <w:r>
        <w:rPr>
          <w:rFonts w:ascii="Times New Roman" w:hAnsi="Times New Roman"/>
          <w:color w:val="000000"/>
          <w:sz w:val="24"/>
          <w:u w:val="single"/>
        </w:rPr>
        <w:t>No Fractional Shares or Scrip</w:t>
      </w:r>
      <w:r>
        <w:rPr>
          <w:rFonts w:ascii="Times New Roman" w:hAnsi="Times New Roman"/>
          <w:color w:val="000000"/>
          <w:sz w:val="24"/>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40" w:after="283"/>
        <w:jc w:val="both"/>
        <w:rPr/>
      </w:pPr>
      <w:r>
        <w:rPr>
          <w:rFonts w:ascii="Times New Roman" w:hAnsi="Times New Roman"/>
          <w:color w:val="000000"/>
          <w:sz w:val="24"/>
          <w:u w:val="single"/>
        </w:rPr>
        <w:t>Charges, Taxes and Expenses</w:t>
      </w:r>
      <w:r>
        <w:rPr>
          <w:rFonts w:ascii="Times New Roman" w:hAnsi="Times New Roman"/>
          <w:color w:val="000000"/>
          <w:sz w:val="24"/>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w:t>
      </w:r>
    </w:p>
    <w:p>
      <w:pPr>
        <w:pStyle w:val="TextBody"/>
        <w:bidi w:val="0"/>
        <w:spacing w:before="240" w:after="283"/>
        <w:jc w:val="both"/>
        <w:rPr/>
      </w:pPr>
      <w:r>
        <w:rPr>
          <w:rFonts w:ascii="Times New Roman" w:hAnsi="Times New Roman"/>
          <w:color w:val="000000"/>
          <w:sz w:val="24"/>
          <w:u w:val="single"/>
        </w:rPr>
        <w:t>Closing of Books</w:t>
      </w:r>
      <w:r>
        <w:rPr>
          <w:rFonts w:ascii="Times New Roman" w:hAnsi="Times New Roman"/>
          <w:color w:val="000000"/>
          <w:sz w:val="24"/>
        </w:rPr>
        <w:t>. The Company will not close its stockholder books or records in any manner which prevents the timely exercise of this Warrant, pursuant to the terms 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Holder’s Exercise Limitations</w:t>
      </w:r>
      <w:r>
        <w:rPr>
          <w:rFonts w:ascii="Times New Roman" w:hAnsi="Times New Roman"/>
          <w:color w:val="000000"/>
          <w:sz w:val="24"/>
        </w:rPr>
        <w:t>. The Company shall not effect any exercise of this Warrant, and a Holder shall not have the right to exercise any portion of this Warrant, pursuant to Section 1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hAnsi="Times New Roman"/>
          <w:color w:val="000000"/>
          <w:sz w:val="24"/>
          <w:u w:val="single"/>
        </w:rPr>
        <w:t>Attribution Parties</w:t>
      </w:r>
      <w:r>
        <w:rPr>
          <w:color w:val="000000"/>
        </w:rPr>
        <w:t>”</w:t>
      </w:r>
      <w:r>
        <w:rPr>
          <w:rFonts w:ascii="Times New Roman" w:hAnsi="Times New Roman"/>
          <w:color w:val="000000"/>
          <w:sz w:val="24"/>
        </w:rPr>
        <w:t xml:space="preserve">)),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subject to a limitation on conversion or exercise analogous to the limitation contained herein beneficially owned by the Holder or any of its Affiliates or Attribution Parties. Except as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set forth in the preceding sentence, for purposes of this Section 1(e),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1(e) applies, the determination of whether this Warrant is exercisable (in relation to other securities owned by the Holder together with any Affiliates and Attribution Parties) and of which portion of this Warrant is exercisable shall be in the sole discretion of the Holder, and the Holder’s submission of a Notice of Exercise to the Company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absent manifest error,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1(e),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As used herein, “</w:t>
      </w:r>
      <w:r>
        <w:rPr>
          <w:rFonts w:ascii="Times New Roman" w:hAnsi="Times New Roman"/>
          <w:color w:val="000000"/>
          <w:sz w:val="24"/>
          <w:u w:val="single"/>
        </w:rPr>
        <w:t>Affiliate</w:t>
      </w:r>
      <w:r>
        <w:rPr>
          <w:color w:val="000000"/>
        </w:rPr>
        <w:t xml:space="preserve">” </w:t>
      </w:r>
      <w:r>
        <w:rPr>
          <w:rFonts w:ascii="Times New Roman" w:hAnsi="Times New Roman"/>
          <w:color w:val="000000"/>
          <w:sz w:val="24"/>
        </w:rPr>
        <w:t>shall mean any Person directly or indirectly controlled by, controlling or under common control with, a Holder, as such terms are used in and construed under Rule 405 under the Securities Act, but only for so long as such control shall continue. The “</w:t>
      </w:r>
      <w:r>
        <w:rPr>
          <w:rFonts w:ascii="Times New Roman" w:hAnsi="Times New Roman"/>
          <w:color w:val="000000"/>
          <w:sz w:val="24"/>
          <w:u w:val="single"/>
        </w:rPr>
        <w:t>Beneficial Ownership Limitation</w:t>
      </w:r>
      <w:r>
        <w:rPr>
          <w:color w:val="000000"/>
        </w:rPr>
        <w:t xml:space="preserve">” </w:t>
      </w:r>
      <w:r>
        <w:rPr>
          <w:rFonts w:ascii="Times New Roman" w:hAnsi="Times New Roman"/>
          <w:color w:val="000000"/>
          <w:sz w:val="24"/>
        </w:rPr>
        <w:t>shall be 19.99%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1(e), provided that the Beneficial Ownership Limitation in no event exceeds 29.99% of the number of shares of the Common Stock outstanding immediately after giving effect to the issuance of shares of Common Stock upon exercise of this Warrant held by the Holder and the provisions of this Section 1(e) shall continue to apply. Any increase in the Beneficial Ownership Limitation will not be effective until the 61</w:t>
      </w:r>
      <w:r>
        <w:rPr>
          <w:rFonts w:ascii="Times New Roman" w:hAnsi="Times New Roman"/>
          <w:color w:val="000000"/>
          <w:sz w:val="16"/>
        </w:rPr>
        <w:t>st</w:t>
      </w:r>
      <w:r>
        <w:rPr>
          <w:color w:val="000000"/>
        </w:rPr>
        <w:t xml:space="preserve"> </w:t>
      </w:r>
      <w:r>
        <w:rPr>
          <w:rFonts w:ascii="Times New Roman" w:hAnsi="Times New Roman"/>
          <w:color w:val="000000"/>
          <w:sz w:val="24"/>
        </w:rPr>
        <w:t>day after such notice is delivered to the Company. The provisions of this paragraph shall be construed and implemented in a manner otherwise than in strict conformity with the terms of this Section 1(e)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2. </w:t>
      </w:r>
      <w:r>
        <w:rPr>
          <w:rFonts w:ascii="Times New Roman" w:hAnsi="Times New Roman"/>
          <w:color w:val="000000"/>
          <w:sz w:val="24"/>
          <w:u w:val="single"/>
        </w:rPr>
        <w:t>Certain Adjustments.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Stock Dividends and Splits</w:t>
      </w:r>
      <w:r>
        <w:rPr>
          <w:rFonts w:ascii="Times New Roman" w:hAnsi="Times New Roman"/>
          <w:color w:val="000000"/>
          <w:sz w:val="24"/>
        </w:rPr>
        <w:t xml:space="preserve">.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exchange or conversion of the Warrants or any other warrant or exercisable, exchangeable or convertible securities, and shall not include Purchase Rights for which Section 3(b) shall apply or any distribution of assets for which Section 3(c) shall apply),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2(a) shall become effective immediately after the record date for the determination of stockholders entitled to receive such dividend or distribution and shall become effective immediately after the effective date in the case of a subdivision, combination or re-classification.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Subsequent Rights Offerings</w:t>
      </w:r>
      <w:r>
        <w:rPr>
          <w:rFonts w:ascii="Times New Roman" w:hAnsi="Times New Roman"/>
          <w:color w:val="000000"/>
          <w:sz w:val="24"/>
        </w:rPr>
        <w:t xml:space="preserve">. In addition to any adjustments pursuant to Section 2(a) above, if at any time the Company grants, issues or sells any Common Stock Equivalents or rights to purchase stock, warrants, securities or other property pro rata to the record holders of any class of shares of Common Stock (the “Purchase Rights”),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Pro Rata Distributions</w:t>
      </w:r>
      <w:r>
        <w:rPr>
          <w:rFonts w:ascii="Times New Roman" w:hAnsi="Times New Roman"/>
          <w:color w:val="000000"/>
          <w:sz w:val="24"/>
        </w:rPr>
        <w:t xml:space="preserve">.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“Distribution”), at any time after the issuance of this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Fundamental Transaction</w:t>
      </w:r>
      <w:r>
        <w:rPr>
          <w:rFonts w:ascii="Times New Roman" w:hAnsi="Times New Roman"/>
          <w:color w:val="000000"/>
          <w:sz w:val="24"/>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the assets of the Company and its Subsidiaries, taken as a whole,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 w:hAnsi="Times New Roman"/>
          <w:color w:val="000000"/>
          <w:sz w:val="24"/>
          <w:u w:val="single"/>
        </w:rPr>
        <w:t>Fundamental Transaction</w:t>
      </w:r>
      <w:r>
        <w:rPr>
          <w:color w:val="000000"/>
        </w:rPr>
        <w:t>”</w:t>
      </w:r>
      <w:r>
        <w:rPr>
          <w:rFonts w:ascii="Times New Roman" w:hAnsi="Times New Roman"/>
          <w:color w:val="000000"/>
          <w:sz w:val="24"/>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1(e) on the exercise of this Warrant), the number of shares of Common Stock of the successor or acquiring corporation or of the Company, if it is the surviving corporation, and any additional consideration (the “</w:t>
      </w:r>
      <w:r>
        <w:rPr>
          <w:rFonts w:ascii="Times New Roman" w:hAnsi="Times New Roman"/>
          <w:color w:val="000000"/>
          <w:sz w:val="24"/>
          <w:u w:val="single"/>
        </w:rPr>
        <w:t>Alternate Consideration</w:t>
      </w:r>
      <w:r>
        <w:rPr>
          <w:color w:val="000000"/>
        </w:rPr>
        <w:t>”</w:t>
      </w:r>
      <w:r>
        <w:rPr>
          <w:rFonts w:ascii="Times New Roman" w:hAnsi="Times New Roman"/>
          <w:color w:val="000000"/>
          <w:sz w:val="24"/>
        </w:rPr>
        <w:t xml:space="preserve">) receivable as a result of such Fundamental Transaction by a holder of the number of shares of Common Stock for which this Warrant is exercisable immediately prior to such Fundamental Transaction (without regard to any limitation in Section 1(e) on the exercise of this Warrant). For purposes of any such exercise, the determination of the Exercise Price shall be appropriately adjusted to apply to such Alternate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w:t>
      </w:r>
      <w:r>
        <w:rPr>
          <w:color w:val="00000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The Company shall cause any successor entity in a Fundamental Transaction in which the Company is not the survivor (the “</w:t>
      </w:r>
      <w:r>
        <w:rPr>
          <w:rFonts w:ascii="Times New Roman" w:hAnsi="Times New Roman"/>
          <w:color w:val="000000"/>
          <w:sz w:val="24"/>
          <w:u w:val="single"/>
        </w:rPr>
        <w:t>Successor Entity</w:t>
      </w:r>
      <w:r>
        <w:rPr>
          <w:rFonts w:ascii="Times New Roman" w:hAnsi="Times New Roman"/>
          <w:color w:val="000000"/>
          <w:sz w:val="20"/>
        </w:rPr>
        <w:t>”</w:t>
      </w:r>
      <w:r>
        <w:rPr>
          <w:rFonts w:ascii="Times New Roman" w:hAnsi="Times New Roman"/>
          <w:color w:val="000000"/>
          <w:sz w:val="24"/>
        </w:rPr>
        <w:t>) to assume in writing all of the obligations of the Company under this Warrant and the other Transaction Documents in accordance with the provisions of this Section 2(d)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Calculations</w:t>
      </w:r>
      <w:r>
        <w:rPr>
          <w:rFonts w:ascii="Times New Roman" w:hAnsi="Times New Roman"/>
          <w:color w:val="000000"/>
          <w:sz w:val="24"/>
        </w:rPr>
        <w:t>. All calculations under this Section 2 shall be made to the nearest cent or the nearest 1/100th of a share, as the case may be. For purposes of this Section 2, the number of shares of Common Stock deemed to be issued and outstanding as of a given date shall be the sum of the number of shares of Common Stock (excluding treasury shares, if any) issued and outstanding.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Notice to Holder.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u w:val="single"/>
        </w:rPr>
        <w:t>Adjustment to Exercise Price</w:t>
      </w:r>
      <w:r>
        <w:rPr>
          <w:rFonts w:ascii="Times New Roman" w:hAnsi="Times New Roman"/>
          <w:color w:val="000000"/>
          <w:sz w:val="24"/>
        </w:rPr>
        <w:t xml:space="preserve">. Whenever the Exercise Price is adjusted pursuant to any provision of this Section 2, the Company shall promptly deliver to the Holder by facsimile or email a notice setting forth the Exercise Price after such adjustment and any resulting adjustment to the number of Warrant Shares and setting forth a brief statement of the facts requiring such adjustment.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pPr>
      <w:r>
        <w:rPr>
          <w:rFonts w:ascii="Times New Roman" w:hAnsi="Times New Roman"/>
          <w:color w:val="000000"/>
          <w:sz w:val="24"/>
          <w:u w:val="single"/>
        </w:rPr>
        <w:t>Notice to Allow Exercise by Holder</w:t>
      </w:r>
      <w:r>
        <w:rPr>
          <w:rFonts w:ascii="Times New Roman" w:hAnsi="Times New Roman"/>
          <w:color w:val="000000"/>
          <w:sz w:val="24"/>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(and all of its Subsidiaries, taken as a whole)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substantially simultaneously with the giving of such notice, disclose such information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rFonts w:ascii="Times New Roman" w:hAnsi="Times New Roman"/>
          <w:color w:val="000000"/>
          <w:sz w:val="24"/>
          <w:u w:val="single"/>
        </w:rPr>
        <w:t>Voluntary Adjustment By Company</w:t>
      </w:r>
      <w:r>
        <w:rPr>
          <w:rFonts w:ascii="Times New Roman" w:hAnsi="Times New Roman"/>
          <w:color w:val="000000"/>
          <w:sz w:val="24"/>
        </w:rPr>
        <w:t>. Subject to the rules and regulations of the Trading Market, the Company may at any time during the term of this Warrant, subject to the prior written consent of the Holder, reduce the then current Exercise Price to any amount and for any period of time deemed appropriate by the board of directors of the Company.</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3. </w:t>
      </w:r>
      <w:r>
        <w:rPr>
          <w:rFonts w:ascii="Times New Roman" w:hAnsi="Times New Roman"/>
          <w:color w:val="000000"/>
          <w:sz w:val="24"/>
          <w:u w:val="single"/>
        </w:rPr>
        <w:t>Transfer of Warrant.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Transferability</w:t>
      </w:r>
      <w:r>
        <w:rPr>
          <w:rFonts w:ascii="Times New Roman" w:hAnsi="Times New Roman"/>
          <w:color w:val="000000"/>
          <w:sz w:val="24"/>
        </w:rPr>
        <w:t xml:space="preserve">. Subject to compliance with any applicable securities laws and the conditions set forth in Section 3(d) hereof,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New Warrants</w:t>
      </w:r>
      <w:r>
        <w:rPr>
          <w:rFonts w:ascii="Times New Roman" w:hAnsi="Times New Roman"/>
          <w:color w:val="000000"/>
          <w:sz w:val="24"/>
        </w:rPr>
        <w:t xml:space="preserve">.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3(a),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Exercise Date and shall be identical with this Warrant except as to the number of Warrant Shares issuable pursuant thereto.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Warrant Register</w:t>
      </w:r>
      <w:r>
        <w:rPr>
          <w:rFonts w:ascii="Times New Roman" w:hAnsi="Times New Roman"/>
          <w:color w:val="000000"/>
          <w:sz w:val="24"/>
        </w:rPr>
        <w:t>. The Company shall register this Warrant, upon records to be maintained by the Company for that purpose (the “</w:t>
      </w:r>
      <w:r>
        <w:rPr>
          <w:rFonts w:ascii="Times New Roman" w:hAnsi="Times New Roman"/>
          <w:color w:val="000000"/>
          <w:sz w:val="24"/>
          <w:u w:val="single"/>
        </w:rPr>
        <w:t>Warrant Register</w:t>
      </w:r>
      <w:r>
        <w:rPr>
          <w:color w:val="000000"/>
        </w:rPr>
        <w:t>”</w:t>
      </w:r>
      <w:r>
        <w:rPr>
          <w:rFonts w:ascii="Times New Roman" w:hAnsi="Times New Roman"/>
          <w:color w:val="000000"/>
          <w:sz w:val="24"/>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Representation by the Holder</w:t>
      </w:r>
      <w:r>
        <w:rPr>
          <w:rFonts w:ascii="Times New Roman" w:hAnsi="Times New Roman"/>
          <w:color w:val="000000"/>
          <w:sz w:val="24"/>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4. </w:t>
      </w:r>
      <w:r>
        <w:rPr>
          <w:rFonts w:ascii="Times New Roman" w:hAnsi="Times New Roman"/>
          <w:color w:val="000000"/>
          <w:sz w:val="24"/>
          <w:u w:val="single"/>
        </w:rPr>
        <w:t>Miscellaneous.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No Rights as Stockholder Until Exercise; No Settlement in Cash</w:t>
      </w:r>
      <w:r>
        <w:rPr>
          <w:rFonts w:ascii="Times New Roman" w:hAnsi="Times New Roman"/>
          <w:color w:val="000000"/>
          <w:sz w:val="24"/>
        </w:rPr>
        <w:t>. This Warrant does not entitle the Holder to any voting rights, dividends or other rights as a stockholder of the Company prior to the exercise hereof as set forth in Section 1(d)(i), except as expressly set forth in Section 3. Without limiting any rights of a Holder to receive Warrant Shares on a “cashless exercise” pursuant to Section 1(c) or to receive cash payments pursuant to Section 1(d)(i) and Section 1(d)(iv) herein, in no event shall the Company be required to net cash settle an exercise of this Warrant.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Loss, Theft, Destruction or Mutilation of Warrant</w:t>
      </w:r>
      <w:r>
        <w:rPr>
          <w:rFonts w:ascii="Times New Roman" w:hAnsi="Times New Roman"/>
          <w:color w:val="000000"/>
          <w:sz w:val="24"/>
        </w:rPr>
        <w:t xml:space="preserve">.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such Warrant or stock certificate, if mutilated, the Company will make and deliver a new Warrant or stock certificate of like tenor and dated as of such cancellation, in lieu of such Warrant or stock certificate.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Saturdays, Sundays, Holidays, etc</w:t>
      </w:r>
      <w:r>
        <w:rPr>
          <w:rFonts w:ascii="Times New Roman" w:hAnsi="Times New Roman"/>
          <w:color w:val="000000"/>
          <w:sz w:val="24"/>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Authorized Shares.</w:t>
      </w:r>
    </w:p>
    <w:p>
      <w:pPr>
        <w:pStyle w:val="TextBody"/>
        <w:bidi w:val="0"/>
        <w:spacing w:before="240" w:after="283"/>
        <w:jc w:val="both"/>
        <w:rPr>
          <w:rFonts w:ascii="Times New Roman" w:hAnsi="Times New Roman"/>
          <w:sz w:val="20"/>
        </w:rPr>
      </w:pPr>
      <w:r>
        <w:rPr>
          <w:rFonts w:ascii="Times New Roman" w:hAnsi="Times New Roman"/>
          <w:color w:val="000000"/>
          <w:sz w:val="24"/>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Except and to the extent as waived or consented to by the Holder, the Company shall not take any action, including, without limitation, amending its certificate of incorporation or through any reorganization, transfer of assets, consolidation, merger, dissolution, issue or sale of securities or any other voluntary action, in order to avoid or seek to avoid the observance or performance of any of the terms of this Warrant, but will at all times in good faith assist in the carrying out of all such terms and in the taking of all such actions as may be necessary to carry out such terms.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Before taking any action which would result in an adjustment in the number of Warrant Shares for which this Warrant is exercisable or in the Exercise Price, the Company shall use commercially reasonable efforts to obtain all such authorizations or exemptions thereof, or consents thereto, as may be necessary from any public regulatory body or bodies having jurisdiction thereof.</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(e)</w:t>
      </w:r>
    </w:p>
    <w:p>
      <w:pPr>
        <w:pStyle w:val="TextBody"/>
        <w:bidi w:val="0"/>
        <w:spacing w:before="240" w:after="283"/>
        <w:jc w:val="both"/>
        <w:rPr/>
      </w:pPr>
      <w:r>
        <w:rPr>
          <w:rFonts w:ascii="Times New Roman" w:hAnsi="Times New Roman"/>
          <w:b/>
          <w:color w:val="000000"/>
          <w:sz w:val="24"/>
          <w:u w:val="single"/>
        </w:rPr>
        <w:t>Governing Law; Jurisdiction</w:t>
      </w:r>
      <w:r>
        <w:rPr>
          <w:rFonts w:ascii="Times New Roman" w:hAnsi="Times New Roman"/>
          <w:color w:val="000000"/>
          <w:sz w:val="24"/>
        </w:rPr>
        <w:t xml:space="preserve">. </w:t>
      </w:r>
      <w:r>
        <w:rPr>
          <w:rFonts w:ascii="Times New Roman" w:hAnsi="Times New Roman"/>
          <w:b/>
          <w:color w:val="000000"/>
          <w:sz w:val="24"/>
        </w:rPr>
        <w:t>ALL QUESTIONS CONCERNING THE CONSTRUCTION, VALIDITY, ENFORCEMENT AND INTERPRETATION OF THIS WARRANT SHALL BE GOVERNED BY AND CONSTRUED AND ENFORCED IN ACCORDANCE WITH THE LAWS OF THE STATE OF NEW YORK.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rFonts w:ascii="Times New Roman" w:hAnsi="Times New Roman"/>
          <w:color w:val="000000"/>
          <w:sz w:val="24"/>
          <w:u w:val="single"/>
        </w:rPr>
        <w:t>Restrictions</w:t>
      </w:r>
      <w:r>
        <w:rPr>
          <w:rFonts w:ascii="Times New Roman" w:hAnsi="Times New Roman"/>
          <w:color w:val="000000"/>
          <w:sz w:val="24"/>
        </w:rPr>
        <w:t>. The Holder acknowledges that the Warrant Shares acquired upon the exercise of this Warrant will have restrictions upon resale imposed by state and federal securities laws and will bear a restrictive legend, subject to Section 1(c) in the case of cashless exercise.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rFonts w:ascii="Times New Roman" w:hAnsi="Times New Roman"/>
          <w:color w:val="000000"/>
          <w:sz w:val="24"/>
          <w:u w:val="single"/>
        </w:rPr>
        <w:t>Nonwaiver and Expenses</w:t>
      </w:r>
      <w:r>
        <w:rPr>
          <w:rFonts w:ascii="Times New Roman" w:hAnsi="Times New Roman"/>
          <w:color w:val="000000"/>
          <w:sz w:val="24"/>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and documented out of pocket external attorneys’ fees of one counsel, including those of appellate proceedings, incurred by the Holder in collecting any amounts due pursuant hereto or in otherwise enforcing any of its rights, powers or remedies hereunder.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pPr>
      <w:r>
        <w:rPr>
          <w:rFonts w:ascii="Times New Roman" w:hAnsi="Times New Roman"/>
          <w:color w:val="000000"/>
          <w:sz w:val="24"/>
          <w:u w:val="single"/>
        </w:rPr>
        <w:t>Notices</w:t>
      </w:r>
      <w:r>
        <w:rPr>
          <w:rFonts w:ascii="Times New Roman" w:hAnsi="Times New Roman"/>
          <w:color w:val="000000"/>
          <w:sz w:val="24"/>
        </w:rPr>
        <w:t>. Any and all notices or other communications or deliveries hereunder (including, without limitation, any Exercise Notice) shall be in writing and shall be deemed given and effective on the earliest of (i) the date of transmission, if such notice or communication is delivered confirmed e-mail at the e-mail address specified by the Company prior to 5:30 P.M., New York City time, on a Trading Day, (ii) the next Trading Day after the date of transmission, if such notice or communication is delivered via confirmed e-mail at the e-mail address specified by the Company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u w:val="single"/>
        </w:rPr>
        <w:t>Limitation of Liability</w:t>
      </w:r>
      <w:r>
        <w:rPr>
          <w:rFonts w:ascii="Times New Roman" w:hAnsi="Times New Roman"/>
          <w:color w:val="000000"/>
          <w:sz w:val="24"/>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both"/>
        <w:rPr/>
      </w:pPr>
      <w:r>
        <w:rPr>
          <w:rFonts w:ascii="Times New Roman" w:hAnsi="Times New Roman"/>
          <w:color w:val="000000"/>
          <w:sz w:val="24"/>
          <w:u w:val="single"/>
        </w:rPr>
        <w:t>Remedies</w:t>
      </w:r>
      <w:r>
        <w:rPr>
          <w:rFonts w:ascii="Times New Roman" w:hAnsi="Times New Roman"/>
          <w:color w:val="000000"/>
          <w:sz w:val="24"/>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240" w:after="283"/>
        <w:jc w:val="both"/>
        <w:rPr/>
      </w:pPr>
      <w:r>
        <w:rPr>
          <w:rFonts w:ascii="Times New Roman" w:hAnsi="Times New Roman"/>
          <w:color w:val="000000"/>
          <w:sz w:val="24"/>
          <w:u w:val="single"/>
        </w:rPr>
        <w:t>Successors and Assigns</w:t>
      </w:r>
      <w:r>
        <w:rPr>
          <w:rFonts w:ascii="Times New Roman" w:hAnsi="Times New Roman"/>
          <w:color w:val="000000"/>
          <w:sz w:val="24"/>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w:t>
      </w:r>
    </w:p>
    <w:p>
      <w:pPr>
        <w:pStyle w:val="TextBody"/>
        <w:bidi w:val="0"/>
        <w:spacing w:before="240" w:after="283"/>
        <w:jc w:val="both"/>
        <w:rPr/>
      </w:pPr>
      <w:r>
        <w:rPr>
          <w:rFonts w:ascii="Times New Roman" w:hAnsi="Times New Roman"/>
          <w:color w:val="000000"/>
          <w:sz w:val="24"/>
          <w:u w:val="single"/>
        </w:rPr>
        <w:t>Amendment</w:t>
      </w:r>
      <w:r>
        <w:rPr>
          <w:rFonts w:ascii="Times New Roman" w:hAnsi="Times New Roman"/>
          <w:color w:val="000000"/>
          <w:sz w:val="24"/>
        </w:rPr>
        <w:t>. This Warrant may be modified or amended or the provisions hereof waived with the written consent of the Company and the Holder.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w:t>
      </w:r>
    </w:p>
    <w:p>
      <w:pPr>
        <w:pStyle w:val="TextBody"/>
        <w:bidi w:val="0"/>
        <w:spacing w:before="240" w:after="283"/>
        <w:jc w:val="both"/>
        <w:rPr/>
      </w:pPr>
      <w:r>
        <w:rPr>
          <w:rFonts w:ascii="Times New Roman" w:hAnsi="Times New Roman"/>
          <w:color w:val="000000"/>
          <w:sz w:val="24"/>
          <w:u w:val="single"/>
        </w:rPr>
        <w:t>Severability</w:t>
      </w:r>
      <w:r>
        <w:rPr>
          <w:rFonts w:ascii="Times New Roman" w:hAnsi="Times New Roman"/>
          <w:color w:val="000000"/>
          <w:sz w:val="24"/>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w:t>
      </w:r>
    </w:p>
    <w:p>
      <w:pPr>
        <w:pStyle w:val="TextBody"/>
        <w:bidi w:val="0"/>
        <w:spacing w:before="240" w:after="283"/>
        <w:jc w:val="both"/>
        <w:rPr/>
      </w:pPr>
      <w:r>
        <w:rPr>
          <w:rFonts w:ascii="Times New Roman" w:hAnsi="Times New Roman"/>
          <w:color w:val="000000"/>
          <w:sz w:val="24"/>
          <w:u w:val="single"/>
        </w:rPr>
        <w:t>Headings</w:t>
      </w:r>
      <w:r>
        <w:rPr>
          <w:rFonts w:ascii="Times New Roman" w:hAnsi="Times New Roman"/>
          <w:color w:val="000000"/>
          <w:sz w:val="24"/>
        </w:rPr>
        <w:t>. The headings used in this Warrant are for the convenience of reference only and shall not, for any purpose, be deemed a part of this Warrant.</w:t>
      </w:r>
    </w:p>
    <w:p>
      <w:pPr>
        <w:pStyle w:val="TextBody"/>
        <w:bidi w:val="0"/>
        <w:spacing w:before="240" w:after="283"/>
        <w:jc w:val="center"/>
        <w:rPr>
          <w:rFonts w:ascii="Times New Roman" w:hAnsi="Times New Roman"/>
          <w:color w:val="000000"/>
          <w:sz w:val="24"/>
        </w:rPr>
      </w:pPr>
      <w:bookmarkStart w:id="53" w:name="sty_hc_04"/>
      <w:bookmarkEnd w:id="53"/>
      <w:r>
        <w:rPr>
          <w:rFonts w:ascii="Times New Roman" w:hAnsi="Times New Roman"/>
          <w:color w:val="000000"/>
          <w:sz w:val="24"/>
        </w:rPr>
        <w:t>********************</w:t>
      </w:r>
    </w:p>
    <w:p>
      <w:pPr>
        <w:pStyle w:val="TextBody"/>
        <w:bidi w:val="0"/>
        <w:spacing w:before="240" w:after="283"/>
        <w:jc w:val="center"/>
        <w:rPr>
          <w:rFonts w:ascii="Times New Roman" w:hAnsi="Times New Roman"/>
          <w:i/>
          <w:color w:val="000000"/>
          <w:sz w:val="24"/>
        </w:rPr>
      </w:pPr>
      <w:bookmarkStart w:id="54" w:name="sty_hlbi_04"/>
      <w:bookmarkEnd w:id="54"/>
      <w:r>
        <w:rPr>
          <w:rFonts w:ascii="Times New Roman" w:hAnsi="Times New Roman"/>
          <w:i/>
          <w:color w:val="000000"/>
          <w:sz w:val="24"/>
        </w:rPr>
        <w:t>(Signature Page Follows)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WITNESS WHEREOF, the Company has caused this Warrant to be executed by its officer thereunto duly authorized as of the date first above indicated.</w:t>
      </w:r>
    </w:p>
    <w:p>
      <w:pPr>
        <w:pStyle w:val="TextBody"/>
        <w:bidi w:val="0"/>
        <w:jc w:val="left"/>
        <w:rPr/>
      </w:pPr>
      <w:r>
        <w:rPr/>
        <w:t> </w:t>
      </w:r>
    </w:p>
    <w:tbl>
      <w:tblPr>
        <w:tblW w:w="4771" w:type="dxa"/>
        <w:jc w:val="left"/>
        <w:tblInd w:w="0" w:type="dxa"/>
        <w:tblLayout w:type="fixed"/>
        <w:tblCellMar>
          <w:top w:w="28" w:type="dxa"/>
          <w:left w:w="28" w:type="dxa"/>
          <w:bottom w:w="28" w:type="dxa"/>
          <w:right w:w="28" w:type="dxa"/>
        </w:tblCellMar>
      </w:tblPr>
      <w:tblGrid>
        <w:gridCol w:w="466"/>
        <w:gridCol w:w="3997"/>
        <w:gridCol w:w="308"/>
      </w:tblGrid>
      <w:tr>
        <w:trPr/>
        <w:tc>
          <w:tcPr>
            <w:tcW w:w="466" w:type="dxa"/>
            <w:tcBorders/>
            <w:vAlign w:val="center"/>
          </w:tcPr>
          <w:p>
            <w:pPr>
              <w:pStyle w:val="TableContents"/>
              <w:bidi w:val="0"/>
              <w:spacing w:before="0" w:after="283"/>
              <w:jc w:val="left"/>
              <w:rPr>
                <w:sz w:val="4"/>
                <w:szCs w:val="4"/>
              </w:rPr>
            </w:pPr>
            <w:r>
              <w:rPr>
                <w:sz w:val="4"/>
                <w:szCs w:val="4"/>
              </w:rPr>
            </w:r>
          </w:p>
        </w:tc>
        <w:tc>
          <w:tcPr>
            <w:tcW w:w="399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477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ASSEMBLY BIOSCIENCES, INC.</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7" w:type="dxa"/>
            <w:tcBorders/>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7" w:type="dxa"/>
            <w:tcBorders/>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430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Jason A. Okazaki</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7"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Name: Jason A. Okazaki</w:t>
            </w:r>
          </w:p>
        </w:tc>
        <w:tc>
          <w:tcPr>
            <w:tcW w:w="3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5" w:type="dxa"/>
            <w:gridSpan w:val="2"/>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Title: Chief Executive Officer and President</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NOTICE OF EXERCISE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Assembly Biosciences, Inc.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Payment shall take the form of (check applicable box):</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 in lawful money of the United States;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 if permitted the cancellation of such number of Warrant Shares as is necessary, in accordance with the formula set forth in subsection 1(c), to exercise this Warrant with respect to the maximum number of Warrant Shares purchasable pursuant to the cashless exercise procedure set forth in subsection 1(c).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Please issue said Warrant Shares in the name of the undersigned or in such other name as is specified below:</w:t>
      </w:r>
    </w:p>
    <w:p>
      <w:pPr>
        <w:pStyle w:val="TextBody"/>
        <w:bidi w:val="0"/>
        <w:jc w:val="both"/>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Warrant Shares shall be delivered to the following DWAC Account Number:</w:t>
      </w:r>
    </w:p>
    <w:p>
      <w:pPr>
        <w:pStyle w:val="TextBody"/>
        <w:bidi w:val="0"/>
        <w:jc w:val="both"/>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By its delivery of this Notice of Exercise, the undersigned represents and warrants to the Company that in giving effect to the exercise evidenced hereby the Holders will not beneficially own in excess of the number of shares of Common Stock permitted to be owned under Section 1(e) of the Warrant to which this notice relates.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[SIGNATURE OF HOLDER]</w:t>
      </w:r>
    </w:p>
    <w:p>
      <w:pPr>
        <w:pStyle w:val="TextBody"/>
        <w:bidi w:val="0"/>
        <w:jc w:val="left"/>
        <w:rPr/>
      </w:pPr>
      <w:r>
        <w:rPr/>
        <w:t> </w:t>
      </w:r>
    </w:p>
    <w:tbl>
      <w:tblPr>
        <w:tblW w:w="2757" w:type="dxa"/>
        <w:jc w:val="left"/>
        <w:tblInd w:w="0" w:type="dxa"/>
        <w:tblLayout w:type="fixed"/>
        <w:tblCellMar>
          <w:top w:w="28" w:type="dxa"/>
          <w:left w:w="28" w:type="dxa"/>
          <w:bottom w:w="28" w:type="dxa"/>
          <w:right w:w="28" w:type="dxa"/>
        </w:tblCellMar>
      </w:tblPr>
      <w:tblGrid>
        <w:gridCol w:w="2566"/>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of Investing Entity:</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367" w:type="dxa"/>
        <w:jc w:val="left"/>
        <w:tblInd w:w="0" w:type="dxa"/>
        <w:tblLayout w:type="fixed"/>
        <w:tblCellMar>
          <w:top w:w="28" w:type="dxa"/>
          <w:left w:w="28" w:type="dxa"/>
          <w:bottom w:w="28" w:type="dxa"/>
          <w:right w:w="28" w:type="dxa"/>
        </w:tblCellMar>
      </w:tblPr>
      <w:tblGrid>
        <w:gridCol w:w="5176"/>
        <w:gridCol w:w="191"/>
      </w:tblGrid>
      <w:tr>
        <w:trPr/>
        <w:tc>
          <w:tcPr>
            <w:tcW w:w="51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i/>
                <w:color w:val="000000"/>
                <w:sz w:val="24"/>
              </w:rPr>
              <w:t>Signature of Authorized Signatory of Investing Entity</w:t>
            </w:r>
            <w:r>
              <w:rPr>
                <w:rFonts w:ascii="Times New Roman" w:hAnsi="Times New Roman"/>
                <w:color w:val="000000"/>
                <w:sz w:val="24"/>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3297" w:type="dxa"/>
        <w:jc w:val="left"/>
        <w:tblInd w:w="0" w:type="dxa"/>
        <w:tblLayout w:type="fixed"/>
        <w:tblCellMar>
          <w:top w:w="28" w:type="dxa"/>
          <w:left w:w="28" w:type="dxa"/>
          <w:bottom w:w="28" w:type="dxa"/>
          <w:right w:w="28" w:type="dxa"/>
        </w:tblCellMar>
      </w:tblPr>
      <w:tblGrid>
        <w:gridCol w:w="3106"/>
        <w:gridCol w:w="191"/>
      </w:tblGrid>
      <w:tr>
        <w:trPr/>
        <w:tc>
          <w:tcPr>
            <w:tcW w:w="31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of Authorized Signatory:</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3162" w:type="dxa"/>
        <w:jc w:val="left"/>
        <w:tblInd w:w="0" w:type="dxa"/>
        <w:tblLayout w:type="fixed"/>
        <w:tblCellMar>
          <w:top w:w="28" w:type="dxa"/>
          <w:left w:w="28" w:type="dxa"/>
          <w:bottom w:w="28" w:type="dxa"/>
          <w:right w:w="28" w:type="dxa"/>
        </w:tblCellMar>
      </w:tblPr>
      <w:tblGrid>
        <w:gridCol w:w="2971"/>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of Authorized Signatory:</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22" w:type="dxa"/>
        <w:jc w:val="left"/>
        <w:tblInd w:w="0" w:type="dxa"/>
        <w:tblLayout w:type="fixed"/>
        <w:tblCellMar>
          <w:top w:w="28" w:type="dxa"/>
          <w:left w:w="28" w:type="dxa"/>
          <w:bottom w:w="28" w:type="dxa"/>
          <w:right w:w="28" w:type="dxa"/>
        </w:tblCellMar>
      </w:tblPr>
      <w:tblGrid>
        <w:gridCol w:w="631"/>
        <w:gridCol w:w="191"/>
      </w:tblGrid>
      <w:tr>
        <w:trPr/>
        <w:tc>
          <w:tcPr>
            <w:tcW w:w="6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ASSIGNMENT FORM</w:t>
      </w:r>
    </w:p>
    <w:p>
      <w:pPr>
        <w:pStyle w:val="TextBody"/>
        <w:bidi w:val="0"/>
        <w:spacing w:before="240" w:after="283"/>
        <w:jc w:val="center"/>
        <w:rPr>
          <w:rFonts w:ascii="Times New Roman" w:hAnsi="Times New Roman"/>
          <w:i/>
          <w:color w:val="000000"/>
          <w:sz w:val="24"/>
        </w:rPr>
      </w:pPr>
      <w:bookmarkStart w:id="55" w:name="sty_hli_04"/>
      <w:bookmarkEnd w:id="55"/>
      <w:r>
        <w:rPr>
          <w:rFonts w:ascii="Times New Roman" w:hAnsi="Times New Roman"/>
          <w:i/>
          <w:color w:val="000000"/>
          <w:sz w:val="24"/>
        </w:rPr>
        <w:t>(To assign the foregoing Warrant, execute this form and supply required information. Do not use this form to purchase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VALUE RECEIVED, the foregoing Warrant and all rights evidenced thereby are hereby assigned to</w:t>
      </w:r>
    </w:p>
    <w:p>
      <w:pPr>
        <w:pStyle w:val="TextBody"/>
        <w:bidi w:val="0"/>
        <w:jc w:val="left"/>
        <w:rPr/>
      </w:pPr>
      <w:r>
        <w:rPr/>
        <w:t> </w:t>
      </w:r>
    </w:p>
    <w:tbl>
      <w:tblPr>
        <w:tblW w:w="3324" w:type="dxa"/>
        <w:jc w:val="left"/>
        <w:tblInd w:w="0" w:type="dxa"/>
        <w:tblLayout w:type="fixed"/>
        <w:tblCellMar>
          <w:top w:w="28" w:type="dxa"/>
          <w:left w:w="28" w:type="dxa"/>
          <w:bottom w:w="28" w:type="dxa"/>
          <w:right w:w="28" w:type="dxa"/>
        </w:tblCellMar>
      </w:tblPr>
      <w:tblGrid>
        <w:gridCol w:w="811"/>
        <w:gridCol w:w="146"/>
        <w:gridCol w:w="146"/>
        <w:gridCol w:w="146"/>
        <w:gridCol w:w="226"/>
        <w:gridCol w:w="146"/>
        <w:gridCol w:w="146"/>
        <w:gridCol w:w="146"/>
        <w:gridCol w:w="1411"/>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1767" w:type="dxa"/>
            <w:gridSpan w:val="7"/>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67" w:type="dxa"/>
            <w:gridSpan w:val="7"/>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60" w:after="283"/>
              <w:jc w:val="both"/>
              <w:rPr>
                <w:rFonts w:ascii="Times New Roman" w:hAnsi="Times New Roman"/>
                <w:color w:val="000000"/>
                <w:sz w:val="24"/>
              </w:rPr>
            </w:pPr>
            <w:r>
              <w:rPr>
                <w:rFonts w:ascii="Times New Roman" w:hAnsi="Times New Roman"/>
                <w:color w:val="000000"/>
                <w:sz w:val="24"/>
              </w:rPr>
              <w:t>(Please Print)</w:t>
            </w:r>
          </w:p>
        </w:tc>
      </w:tr>
      <w:tr>
        <w:trPr/>
        <w:tc>
          <w:tcPr>
            <w:tcW w:w="1767" w:type="dxa"/>
            <w:gridSpan w:val="7"/>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767" w:type="dxa"/>
            <w:gridSpan w:val="7"/>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Address: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67" w:type="dxa"/>
            <w:gridSpan w:val="7"/>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60" w:after="283"/>
              <w:jc w:val="both"/>
              <w:rPr>
                <w:rFonts w:ascii="Times New Roman" w:hAnsi="Times New Roman"/>
                <w:color w:val="000000"/>
                <w:sz w:val="24"/>
              </w:rPr>
            </w:pPr>
            <w:r>
              <w:rPr>
                <w:rFonts w:ascii="Times New Roman" w:hAnsi="Times New Roman"/>
                <w:color w:val="000000"/>
                <w:sz w:val="24"/>
              </w:rPr>
              <w:t>(Please Print)</w:t>
            </w:r>
          </w:p>
        </w:tc>
      </w:tr>
      <w:tr>
        <w:trPr/>
        <w:tc>
          <w:tcPr>
            <w:tcW w:w="1767" w:type="dxa"/>
            <w:gridSpan w:val="7"/>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767" w:type="dxa"/>
            <w:gridSpan w:val="7"/>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Phone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67" w:type="dxa"/>
            <w:gridSpan w:val="7"/>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767" w:type="dxa"/>
            <w:gridSpan w:val="7"/>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xml:space="preserve">Email Address: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xml:space="preserve">Dated: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2303" w:type="dxa"/>
        <w:jc w:val="left"/>
        <w:tblInd w:w="0" w:type="dxa"/>
        <w:tblLayout w:type="fixed"/>
        <w:tblCellMar>
          <w:top w:w="28" w:type="dxa"/>
          <w:left w:w="28" w:type="dxa"/>
          <w:bottom w:w="28" w:type="dxa"/>
          <w:right w:w="28" w:type="dxa"/>
        </w:tblCellMar>
      </w:tblPr>
      <w:tblGrid>
        <w:gridCol w:w="1966"/>
        <w:gridCol w:w="146"/>
        <w:gridCol w:w="19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Holder’s Signature: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2183" w:type="dxa"/>
        <w:jc w:val="left"/>
        <w:tblInd w:w="0" w:type="dxa"/>
        <w:tblLayout w:type="fixed"/>
        <w:tblCellMar>
          <w:top w:w="28" w:type="dxa"/>
          <w:left w:w="28" w:type="dxa"/>
          <w:bottom w:w="28" w:type="dxa"/>
          <w:right w:w="28" w:type="dxa"/>
        </w:tblCellMar>
      </w:tblPr>
      <w:tblGrid>
        <w:gridCol w:w="1846"/>
        <w:gridCol w:w="146"/>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Holder’s Address: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6" w:name="asmb-ex31_1.htm"/>
      <w:bookmarkStart w:id="57" w:name="ksasmbex31_1"/>
      <w:bookmarkEnd w:id="56"/>
      <w:bookmarkEnd w:id="5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 Jason A. Okazaki,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 have reviewed this Quarterly Report on Form 10</w:t>
        <w:noBreakHyphen/>
        <w:t xml:space="preserve">Q of Assembly Biosciences, Inc.;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w:t>
        <w:noBreakHyphen/>
        <w:t>15(e) and 15d</w:t>
        <w:noBreakHyphen/>
        <w:t>15(e)) and internal control over financial reporting (as defined in Exchange Act Rules 13a</w:t>
        <w:noBreakHyphen/>
        <w:t>15(f) and 15d</w:t>
        <w:noBreakHyphen/>
        <w:t xml:space="preserve">15(f)) for the registrant and have: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both"/>
        <w:rPr/>
      </w:pPr>
      <w:r>
        <w:rPr/>
        <w:t> </w:t>
      </w:r>
    </w:p>
    <w:tbl>
      <w:tblPr>
        <w:tblW w:w="5823" w:type="dxa"/>
        <w:jc w:val="left"/>
        <w:tblInd w:w="0" w:type="dxa"/>
        <w:tblLayout w:type="fixed"/>
        <w:tblCellMar>
          <w:top w:w="28" w:type="dxa"/>
          <w:left w:w="28" w:type="dxa"/>
          <w:bottom w:w="28" w:type="dxa"/>
          <w:right w:w="28" w:type="dxa"/>
        </w:tblCellMar>
      </w:tblPr>
      <w:tblGrid>
        <w:gridCol w:w="2206"/>
        <w:gridCol w:w="406"/>
        <w:gridCol w:w="3211"/>
      </w:tblGrid>
      <w:tr>
        <w:trPr/>
        <w:tc>
          <w:tcPr>
            <w:tcW w:w="22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10, 2025</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A. Okazaki</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A. Okazaki</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8" w:name="asmb-ex31_2.htm"/>
      <w:bookmarkStart w:id="59" w:name="ksasmbex31_2"/>
      <w:bookmarkEnd w:id="58"/>
      <w:bookmarkEnd w:id="5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 Jeanette M. Bjorkquist,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 have reviewed this Quarterly Report on Form 10</w:t>
        <w:noBreakHyphen/>
        <w:t xml:space="preserve">Q of Assembly Biosciences, Inc.;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w:t>
        <w:noBreakHyphen/>
        <w:t>15(e) and 15d</w:t>
        <w:noBreakHyphen/>
        <w:t>15(e)) and internal control over financial reporting (as defined in Exchange Act Rules 13a</w:t>
        <w:noBreakHyphen/>
        <w:t>15(f) and 15d</w:t>
        <w:noBreakHyphen/>
        <w:t xml:space="preserve">15(f)) for the registrant and have: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both"/>
        <w:rPr/>
      </w:pPr>
      <w:r>
        <w:rPr/>
        <w:t> </w:t>
      </w:r>
    </w:p>
    <w:tbl>
      <w:tblPr>
        <w:tblW w:w="5028" w:type="dxa"/>
        <w:jc w:val="left"/>
        <w:tblInd w:w="0" w:type="dxa"/>
        <w:tblLayout w:type="fixed"/>
        <w:tblCellMar>
          <w:top w:w="28" w:type="dxa"/>
          <w:left w:w="28" w:type="dxa"/>
          <w:bottom w:w="28" w:type="dxa"/>
          <w:right w:w="28" w:type="dxa"/>
        </w:tblCellMar>
      </w:tblPr>
      <w:tblGrid>
        <w:gridCol w:w="2206"/>
        <w:gridCol w:w="406"/>
        <w:gridCol w:w="2416"/>
      </w:tblGrid>
      <w:tr>
        <w:trPr/>
        <w:tc>
          <w:tcPr>
            <w:tcW w:w="22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10, 2025</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Jeanette M. Bjorkquist</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Jeanette M. Bjorkquist</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VP, Finance</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0" w:name="asmb-ex32_1.htm"/>
      <w:bookmarkStart w:id="61" w:name="ksasmbex32_1"/>
      <w:bookmarkEnd w:id="60"/>
      <w:bookmarkEnd w:id="61"/>
      <w:r>
        <w:rPr>
          <w:rFonts w:ascii="Times New Roman" w:hAnsi="Times New Roman"/>
          <w:b/>
          <w:color w:val="000000"/>
          <w:sz w:val="20"/>
        </w:rPr>
        <w:t>EXHIBIT 32.1</w:t>
      </w:r>
      <w:r>
        <w:br w:type="page"/>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CERTIFICATION PURSUANT TO 18 U.S.C. SECTION 1350, AS ADOPTED PURSUANT TO </w:t>
      </w:r>
    </w:p>
    <w:p>
      <w:pPr>
        <w:pStyle w:val="TextBody"/>
        <w:bidi w:val="0"/>
        <w:jc w:val="center"/>
        <w:rPr>
          <w:rFonts w:ascii="Times New Roman" w:hAnsi="Times New Roman"/>
          <w:color w:val="000000"/>
          <w:sz w:val="20"/>
        </w:rPr>
      </w:pPr>
      <w:r>
        <w:rPr>
          <w:rFonts w:ascii="Times New Roman" w:hAnsi="Times New Roman"/>
          <w:color w:val="000000"/>
          <w:sz w:val="20"/>
        </w:rPr>
        <w:t xml:space="preserve">SECTION 906 OF THE SARBANES-OXLEY ACT OF 2002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Quarterly Report on Form 10</w:t>
        <w:noBreakHyphen/>
        <w:t xml:space="preserve">Q of Assembly Biosciences, Inc. (the Company) for the period ended September 30, 2025 as filed with the Securities and Exchange Commission on or about the date hereof (the Report), I, Jason A. Okazaki, Chief Executive Officer and President, hereby certify, pursuant to 18 U.S.C. Section 1350, as adopted pursuant to Section 906 of the Sarbanes-Oxley Act of 2002, that, to my knowledge: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 as of, and for, the periods presented in the Report.</w:t>
      </w:r>
    </w:p>
    <w:p>
      <w:pPr>
        <w:pStyle w:val="TextBody"/>
        <w:bidi w:val="0"/>
        <w:jc w:val="left"/>
        <w:rPr/>
      </w:pPr>
      <w:r>
        <w:rPr/>
        <w:t> </w:t>
      </w:r>
    </w:p>
    <w:tbl>
      <w:tblPr>
        <w:tblW w:w="3372" w:type="dxa"/>
        <w:jc w:val="left"/>
        <w:tblInd w:w="0" w:type="dxa"/>
        <w:tblLayout w:type="fixed"/>
        <w:tblCellMar>
          <w:top w:w="28" w:type="dxa"/>
          <w:left w:w="28" w:type="dxa"/>
          <w:bottom w:w="28" w:type="dxa"/>
          <w:right w:w="28" w:type="dxa"/>
        </w:tblCellMar>
      </w:tblPr>
      <w:tblGrid>
        <w:gridCol w:w="161"/>
        <w:gridCol w:w="3211"/>
      </w:tblGrid>
      <w:tr>
        <w:trPr/>
        <w:tc>
          <w:tcPr>
            <w:tcW w:w="16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A. Okazaki</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A. Okazaki</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November 10, 2025</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2" w:name="asmb-ex32_2.htm"/>
      <w:bookmarkStart w:id="63" w:name="ksasmbex32_2"/>
      <w:bookmarkEnd w:id="62"/>
      <w:bookmarkEnd w:id="63"/>
      <w:r>
        <w:rPr>
          <w:rFonts w:ascii="Times New Roman" w:hAnsi="Times New Roman"/>
          <w:b/>
          <w:color w:val="000000"/>
          <w:sz w:val="20"/>
        </w:rPr>
        <w:t>EXHIBIT 32.2</w:t>
      </w:r>
      <w:r>
        <w:br w:type="page"/>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CERTIFICATION PURSUANT TO 18 U.S.C. SECTION 1350, AS ADOPTED PURSUANT TO </w:t>
      </w:r>
    </w:p>
    <w:p>
      <w:pPr>
        <w:pStyle w:val="TextBody"/>
        <w:bidi w:val="0"/>
        <w:jc w:val="center"/>
        <w:rPr>
          <w:rFonts w:ascii="Times New Roman" w:hAnsi="Times New Roman"/>
          <w:color w:val="000000"/>
          <w:sz w:val="20"/>
        </w:rPr>
      </w:pPr>
      <w:r>
        <w:rPr>
          <w:rFonts w:ascii="Times New Roman" w:hAnsi="Times New Roman"/>
          <w:color w:val="000000"/>
          <w:sz w:val="20"/>
        </w:rPr>
        <w:t xml:space="preserve">SECTION 906 OF THE SARBANES-OXLEY ACT OF 2002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Quarterly Report on Form 10</w:t>
        <w:noBreakHyphen/>
        <w:t xml:space="preserve">Q of Assembly Biosciences, Inc. (the Company) for the period ended September 30, 2025 as filed with the Securities and Exchange Commission on or about the date hereof (the Report), I, Jeanette M. Bjorkquist, VP, Finance, hereby certify, pursuant to 18 U.S.C. Section 1350, as adopted pursuant to Section 906 of the Sarbanes-Oxley Act of 2002, that, to my knowledge: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 as of, and for, the periods presented in the Report.</w:t>
      </w:r>
    </w:p>
    <w:p>
      <w:pPr>
        <w:pStyle w:val="TextBody"/>
        <w:bidi w:val="0"/>
        <w:jc w:val="left"/>
        <w:rPr/>
      </w:pPr>
      <w:r>
        <w:rPr/>
        <w:t> </w:t>
      </w:r>
    </w:p>
    <w:tbl>
      <w:tblPr>
        <w:tblW w:w="2577" w:type="dxa"/>
        <w:jc w:val="left"/>
        <w:tblInd w:w="0" w:type="dxa"/>
        <w:tblLayout w:type="fixed"/>
        <w:tblCellMar>
          <w:top w:w="28" w:type="dxa"/>
          <w:left w:w="28" w:type="dxa"/>
          <w:bottom w:w="28" w:type="dxa"/>
          <w:right w:w="28" w:type="dxa"/>
        </w:tblCellMar>
      </w:tblPr>
      <w:tblGrid>
        <w:gridCol w:w="161"/>
        <w:gridCol w:w="2416"/>
      </w:tblGrid>
      <w:tr>
        <w:trPr/>
        <w:tc>
          <w:tcPr>
            <w:tcW w:w="161"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Jeanette M. Bjorkquist</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Jeanette M. Bjorkquist</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VP, Finance</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November 10, 2025</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26800/000119312525178092/d442009d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72435</Words>
  <Characters>380449</Characters>
  <CharactersWithSpaces>453899</CharactersWithSpaces>
  <Paragraphs>6942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