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900" w:right="1940" w:hanging="3892"/>
        <w:spacing w:after="0" w:line="501" w:lineRule="auto"/>
        <w:tabs>
          <w:tab w:leader="none" w:pos="3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40" w:right="1920" w:hanging="3432"/>
        <w:spacing w:after="0" w:line="501" w:lineRule="auto"/>
        <w:tabs>
          <w:tab w:leader="none" w:pos="33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___________to___________.</w:t>
      </w: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001-35005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ASSEMBLY BIOSCIENCES,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3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Pr>
          <w:p>
            <w:pPr>
              <w:jc w:val="right"/>
              <w:ind w:right="790"/>
              <w:spacing w:after="0"/>
              <w:rPr>
                <w:sz w:val="20"/>
                <w:szCs w:val="20"/>
                <w:color w:val="auto"/>
              </w:rPr>
            </w:pPr>
            <w:r>
              <w:rPr>
                <w:rFonts w:ascii="Arial" w:cs="Arial" w:eastAsia="Arial" w:hAnsi="Arial"/>
                <w:sz w:val="18"/>
                <w:szCs w:val="18"/>
                <w:b w:val="1"/>
                <w:bCs w:val="1"/>
                <w:color w:val="auto"/>
              </w:rPr>
              <w:t>20-8729264</w:t>
            </w:r>
          </w:p>
        </w:tc>
      </w:tr>
      <w:tr>
        <w:trPr>
          <w:trHeight w:val="216"/>
        </w:trPr>
        <w:tc>
          <w:tcPr>
            <w:tcW w:w="434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 of</w:t>
            </w: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340" w:type="dxa"/>
            <w:vAlign w:val="bottom"/>
          </w:tcPr>
          <w:p>
            <w:pPr>
              <w:jc w:val="center"/>
              <w:ind w:right="1410"/>
              <w:spacing w:after="0"/>
              <w:rPr>
                <w:sz w:val="20"/>
                <w:szCs w:val="20"/>
                <w:color w:val="auto"/>
              </w:rPr>
            </w:pPr>
            <w:r>
              <w:rPr>
                <w:rFonts w:ascii="Arial" w:cs="Arial" w:eastAsia="Arial" w:hAnsi="Arial"/>
                <w:sz w:val="18"/>
                <w:szCs w:val="18"/>
                <w:color w:val="auto"/>
                <w:w w:val="92"/>
              </w:rPr>
              <w:t>incorporation or organization)</w:t>
            </w:r>
          </w:p>
        </w:tc>
        <w:tc>
          <w:tcPr>
            <w:tcW w:w="4100" w:type="dxa"/>
            <w:vAlign w:val="bottom"/>
          </w:tcPr>
          <w:p>
            <w:pPr>
              <w:spacing w:after="0"/>
              <w:rPr>
                <w:sz w:val="20"/>
                <w:szCs w:val="20"/>
                <w:color w:val="auto"/>
              </w:rPr>
            </w:pPr>
          </w:p>
        </w:tc>
      </w:tr>
      <w:tr>
        <w:trPr>
          <w:trHeight w:val="414"/>
        </w:trPr>
        <w:tc>
          <w:tcPr>
            <w:tcW w:w="43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11711 N. Meridian St., Suite 310</w:t>
            </w:r>
          </w:p>
        </w:tc>
        <w:tc>
          <w:tcPr>
            <w:tcW w:w="4100" w:type="dxa"/>
            <w:vAlign w:val="bottom"/>
          </w:tcPr>
          <w:p>
            <w:pPr>
              <w:spacing w:after="0"/>
              <w:rPr>
                <w:sz w:val="24"/>
                <w:szCs w:val="24"/>
                <w:color w:val="auto"/>
              </w:rPr>
            </w:pPr>
          </w:p>
        </w:tc>
      </w:tr>
      <w:tr>
        <w:trPr>
          <w:trHeight w:val="220"/>
        </w:trPr>
        <w:tc>
          <w:tcPr>
            <w:tcW w:w="43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5"/>
              </w:rPr>
              <w:t>Carmel, Indiana</w:t>
            </w:r>
          </w:p>
        </w:tc>
        <w:tc>
          <w:tcPr>
            <w:tcW w:w="4100" w:type="dxa"/>
            <w:vAlign w:val="bottom"/>
          </w:tcPr>
          <w:p>
            <w:pPr>
              <w:jc w:val="right"/>
              <w:ind w:right="990"/>
              <w:spacing w:after="0"/>
              <w:rPr>
                <w:sz w:val="20"/>
                <w:szCs w:val="20"/>
                <w:color w:val="auto"/>
              </w:rPr>
            </w:pPr>
            <w:r>
              <w:rPr>
                <w:rFonts w:ascii="Arial" w:cs="Arial" w:eastAsia="Arial" w:hAnsi="Arial"/>
                <w:sz w:val="18"/>
                <w:szCs w:val="18"/>
                <w:b w:val="1"/>
                <w:bCs w:val="1"/>
                <w:color w:val="auto"/>
              </w:rPr>
              <w:t>46032</w:t>
            </w:r>
          </w:p>
        </w:tc>
      </w:tr>
      <w:tr>
        <w:trPr>
          <w:trHeight w:val="230"/>
        </w:trPr>
        <w:tc>
          <w:tcPr>
            <w:tcW w:w="4340" w:type="dxa"/>
            <w:vAlign w:val="bottom"/>
          </w:tcPr>
          <w:p>
            <w:pPr>
              <w:jc w:val="center"/>
              <w:ind w:right="13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(833) 509-4583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120"/>
              <w:spacing w:after="0"/>
              <w:rPr>
                <w:sz w:val="20"/>
                <w:szCs w:val="20"/>
                <w:color w:val="auto"/>
              </w:rPr>
            </w:pPr>
            <w:r>
              <w:rPr>
                <w:rFonts w:ascii="Arial" w:cs="Arial" w:eastAsia="Arial" w:hAnsi="Arial"/>
                <w:sz w:val="18"/>
                <w:szCs w:val="18"/>
                <w:color w:val="auto"/>
                <w:w w:val="99"/>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0"/>
                <w:szCs w:val="20"/>
                <w:color w:val="auto"/>
              </w:rPr>
            </w:pPr>
            <w:r>
              <w:rPr>
                <w:rFonts w:ascii="Arial" w:cs="Arial" w:eastAsia="Arial" w:hAnsi="Arial"/>
                <w:sz w:val="18"/>
                <w:szCs w:val="18"/>
                <w:color w:val="auto"/>
                <w:w w:val="98"/>
              </w:rPr>
              <w:t>Emerging growth company</w:t>
            </w:r>
          </w:p>
        </w:tc>
        <w:tc>
          <w:tcPr>
            <w:tcW w:w="34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680" w:val="left"/>
        </w:tabs>
        <w:rPr>
          <w:sz w:val="20"/>
          <w:szCs w:val="20"/>
          <w:color w:val="auto"/>
        </w:rPr>
      </w:pPr>
      <w:r>
        <w:rPr>
          <w:rFonts w:ascii="Arial" w:cs="Arial" w:eastAsia="Arial" w:hAnsi="Arial"/>
          <w:sz w:val="17"/>
          <w:szCs w:val="17"/>
          <w:color w:val="auto"/>
        </w:rPr>
        <w:t xml:space="preserve">Indicate by check mark whether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338"/>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18"/>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ASMB</w:t>
            </w:r>
          </w:p>
        </w:tc>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As of May 6, 2019, there were 25,600,979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60" w:type="dxa"/>
            <w:vAlign w:val="bottom"/>
            <w:gridSpan w:val="2"/>
          </w:tcPr>
          <w:p>
            <w:pPr>
              <w:ind w:left="5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17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Quantitative and Qualitative Disclosures about Market Risk</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PART II: OTHER INFORMATION</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2. Unregistered Sales of Equity Securities and Use of Proceeds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3.</w:t>
              </w:r>
            </w:hyperlink>
          </w:p>
        </w:tc>
        <w:tc>
          <w:tcPr>
            <w:tcW w:w="9740" w:type="dxa"/>
            <w:vAlign w:val="bottom"/>
            <w:gridSpan w:val="13"/>
            <w:shd w:val="clear" w:color="auto" w:fill="CCEEFF"/>
          </w:tcPr>
          <w:p>
            <w:pPr>
              <w:ind w:left="2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Defaults Upon Senior Securities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4.</w:t>
              </w:r>
            </w:hyperlink>
          </w:p>
        </w:tc>
        <w:tc>
          <w:tcPr>
            <w:tcW w:w="9740" w:type="dxa"/>
            <w:vAlign w:val="bottom"/>
            <w:gridSpan w:val="13"/>
            <w:shd w:val="clear" w:color="auto" w:fill="CCEEFF"/>
          </w:tcPr>
          <w:p>
            <w:pPr>
              <w:ind w:left="2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5.</w:t>
              </w:r>
            </w:hyperlink>
          </w:p>
        </w:tc>
        <w:tc>
          <w:tcPr>
            <w:tcW w:w="9740" w:type="dxa"/>
            <w:vAlign w:val="bottom"/>
            <w:gridSpan w:val="13"/>
            <w:shd w:val="clear" w:color="auto" w:fill="CCEEFF"/>
          </w:tcPr>
          <w:p>
            <w:pPr>
              <w:ind w:left="2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6.</w:t>
              </w:r>
            </w:hyperlink>
          </w:p>
        </w:tc>
        <w:tc>
          <w:tcPr>
            <w:tcW w:w="9740" w:type="dxa"/>
            <w:vAlign w:val="bottom"/>
            <w:gridSpan w:val="13"/>
            <w:shd w:val="clear" w:color="auto" w:fill="CCEEFF"/>
          </w:tcPr>
          <w:p>
            <w:pPr>
              <w:ind w:left="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9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326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for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164,429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from collaboration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4,283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200,806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Operating lease right-of-use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13,063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Indefinite-lived intangible asset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259,247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268,045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2,427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Deferred revenue - short-term</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9,933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liabilities - short-term</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Deferred rent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Deferred revenue - long-term</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29,868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liabilities - long-term</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68,846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5,000,000 shares authorized; no shares issued or outstanding</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$0.001 par value; 100,000,000 shares authorized as of March 31, 2019 and December 31, 2018;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520" w:type="dxa"/>
            <w:vAlign w:val="bottom"/>
            <w:gridSpan w:val="2"/>
          </w:tcPr>
          <w:p>
            <w:pPr>
              <w:spacing w:after="0"/>
              <w:rPr>
                <w:sz w:val="20"/>
                <w:szCs w:val="20"/>
                <w:color w:val="auto"/>
              </w:rPr>
            </w:pPr>
            <w:r>
              <w:rPr>
                <w:rFonts w:ascii="Arial" w:cs="Arial" w:eastAsia="Arial" w:hAnsi="Arial"/>
                <w:sz w:val="18"/>
                <w:szCs w:val="18"/>
                <w:color w:val="auto"/>
                <w:w w:val="89"/>
              </w:rPr>
              <w:t>25,549,757 and 25,495,425 shares issued and outstanding as of March 31, 2019 and December 31, 2018, respectively</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559,453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(368,839)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190,401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259,247</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268,045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22,704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9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32,221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(28,336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(16,672</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Interest and other income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1,276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w:t>
            </w:r>
          </w:p>
        </w:tc>
        <w:tc>
          <w:tcPr>
            <w:tcW w:w="19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(27,059)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(16,249)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9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(27,052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(16,249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marketable securities, net of tax</w:t>
            </w: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w:t>
            </w:r>
          </w:p>
        </w:tc>
        <w:tc>
          <w:tcPr>
            <w:tcW w:w="19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(26,944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25,668,798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20,231,804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(27,052)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Net accretion and amortization of investments in marketable securities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rent expense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Deferred income tax benefit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fixed assets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Accounts receivable from collaboration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(49,030)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maturities of marketable securities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61,453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Proceeds from sale of marketable securities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41,471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Additional Paid-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Total</w:t>
            </w:r>
          </w:p>
        </w:tc>
      </w:tr>
      <w:tr>
        <w:trPr>
          <w:trHeight w:val="248"/>
        </w:trPr>
        <w:tc>
          <w:tcPr>
            <w:tcW w:w="3720" w:type="dxa"/>
            <w:vAlign w:val="bottom"/>
          </w:tcPr>
          <w:p>
            <w:pPr>
              <w:spacing w:after="0"/>
              <w:rPr>
                <w:sz w:val="21"/>
                <w:szCs w:val="21"/>
                <w:color w:val="auto"/>
              </w:rPr>
            </w:pPr>
          </w:p>
        </w:tc>
        <w:tc>
          <w:tcPr>
            <w:tcW w:w="2440" w:type="dxa"/>
            <w:vAlign w:val="bottom"/>
            <w:gridSpan w:val="5"/>
          </w:tcPr>
          <w:p>
            <w:pPr>
              <w:ind w:left="52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in</w:t>
            </w: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4"/>
              </w:rPr>
              <w:t>Stockholders'</w:t>
            </w:r>
          </w:p>
        </w:tc>
      </w:tr>
      <w:tr>
        <w:trPr>
          <w:trHeight w:val="223"/>
        </w:trPr>
        <w:tc>
          <w:tcPr>
            <w:tcW w:w="3720" w:type="dxa"/>
            <w:vAlign w:val="bottom"/>
          </w:tcPr>
          <w:p>
            <w:pPr>
              <w:spacing w:after="0"/>
              <w:rPr>
                <w:sz w:val="19"/>
                <w:szCs w:val="19"/>
                <w:color w:val="auto"/>
              </w:rPr>
            </w:pPr>
          </w:p>
        </w:tc>
        <w:tc>
          <w:tcPr>
            <w:tcW w:w="124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25,495,425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552,762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(341,787)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210,653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21,000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for settlement of restricted</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 units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33,332</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Reclassification of stock-based awards from</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equity to accrued expenses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marketable securities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6,556</w:t>
            </w:r>
          </w:p>
        </w:tc>
        <w:tc>
          <w:tcPr>
            <w:tcW w:w="80" w:type="dxa"/>
            <w:vAlign w:val="bottom"/>
          </w:tcPr>
          <w:p>
            <w:pPr>
              <w:spacing w:after="0"/>
              <w:rPr>
                <w:sz w:val="18"/>
                <w:szCs w:val="18"/>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(27,052)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(27,052)</w:t>
            </w: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Balance as of March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25,549,757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(368,839</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3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Additional Paid-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3720" w:type="dxa"/>
            <w:vAlign w:val="bottom"/>
          </w:tcPr>
          <w:p>
            <w:pPr>
              <w:spacing w:after="0"/>
              <w:rPr>
                <w:sz w:val="20"/>
                <w:szCs w:val="20"/>
                <w:color w:val="auto"/>
              </w:rPr>
            </w:pPr>
          </w:p>
        </w:tc>
        <w:tc>
          <w:tcPr>
            <w:tcW w:w="2440" w:type="dxa"/>
            <w:vAlign w:val="bottom"/>
            <w:gridSpan w:val="5"/>
          </w:tcPr>
          <w:p>
            <w:pPr>
              <w:ind w:left="52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in</w:t>
            </w: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4"/>
              </w:rPr>
              <w:t>Stockholders'</w:t>
            </w:r>
          </w:p>
        </w:tc>
      </w:tr>
      <w:tr>
        <w:trPr>
          <w:trHeight w:val="223"/>
        </w:trPr>
        <w:tc>
          <w:tcPr>
            <w:tcW w:w="3720" w:type="dxa"/>
            <w:vAlign w:val="bottom"/>
          </w:tcPr>
          <w:p>
            <w:pPr>
              <w:spacing w:after="0"/>
              <w:rPr>
                <w:sz w:val="19"/>
                <w:szCs w:val="19"/>
                <w:color w:val="auto"/>
              </w:rPr>
            </w:pPr>
          </w:p>
        </w:tc>
        <w:tc>
          <w:tcPr>
            <w:tcW w:w="124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20,137,974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364,528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(251,036)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248,762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1,494</w:t>
            </w:r>
          </w:p>
        </w:tc>
        <w:tc>
          <w:tcPr>
            <w:tcW w:w="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4,083</w:t>
            </w:r>
          </w:p>
        </w:tc>
        <w:tc>
          <w:tcPr>
            <w:tcW w:w="80" w:type="dxa"/>
            <w:vAlign w:val="bottom"/>
          </w:tcPr>
          <w:p>
            <w:pPr>
              <w:spacing w:after="0"/>
              <w:rPr>
                <w:sz w:val="18"/>
                <w:szCs w:val="18"/>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(16,249)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(16,249)</w:t>
            </w: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Balance as of March 31, 2018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20,386,736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(267,285</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102,381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Assembly Biosciences, Inc., together with its subsidiaries (Assembly or the Company), incorporated in Delaware in October 2005, is a clinical-stage biotechnology company developing innovative therapeutics targeting hepatitis B virus (HBV) and diseases associated with the microbiome. The Company operates in one segment and is headquartered in Carmel, Indiana with operations in South San Francisco, California and Groton, Connecticut.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HBV-cure program is pursuing multiple drug candidates that inhibit the HBV lifecycle and block the generation of covalently closed circular DNA (cccDNA), with the aim of increasing the current low cure rates for patients with HBV. Assembly has discovered multiple novel core inhibitors, which are small molecules that directly target and allosterically modify the HBV core (HBc) protein.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Microbiome program consists of a fully integrated platform that includes a disease-targeted strain isolation, identification, characterization and selection process, methods for strain purification and growth under current Good Manufacturing Practice (cGMP) conditions, and a licensed patented delivery system that the Company calls GEMICEL®, which is designed to allow for targeted oral delivery of live biologic and conventional therapies to the lower gastrointestinal (GI) tract. Using the Company’s microbiome platform capabilities, the Company is exploring product candidates for multiple disease indications, including ulcerative colitis (UC), Crohn’s disease, irritable bowel syndrome (IBS), non-alcoholic steatohepatitis (NASH) and immuno-oncology, which indications the Company will pursue with Allergan Pharmaceuticals International Limited (Allergan) described herein to the extent covered by the Research, Development, Collaboration and License Agreement (the Collaboration Agreement) or pursue either internally or in collaboration with other partners to the extent outside the scope of the Collaboration Agreement (Note 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and an upfront payment related to the Collaboration Agreement.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that these unaudited condensed consolidated interim financial statements are issued.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Company is unable to generate enough revenue from the Collaboration Agreement when needed or to secure additional sources of funding and receive related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 and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unaudited interim condensed consolidated financial statements include the accounts of the Company and its subsidiaries. All intercompany balances and transactions have been eliminated in consolidation.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U.S. Securities and Exchange Commission (SEC) and on the same basis as the Company prepares its annual audited consolidated financial statements.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management’s opinion, the unaudited interim condensed consolidated financial statements have been prepared on the same basis as the audited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GAAP and should be read in conjunction with the Company’s financial statements and accompanying notes for the fiscal year ended December 31, 2018, which is contained in the Company’s Annual Report on Form 10-K as filed with the SEC on February 28, 2019. The results for the three months ended March 31, 2019 are not necessarily indicative of results to be expected for the entire year ending December 31, 2019 or future operating periods.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estimates inherent in the preparation of the accompanying unaudited condensed consolidated financial statements include recoverability and useful lives (indefinite or finite) of intangible assets, assessment of impairment of goodwill, provisions for income taxes, amounts receivable under the Collaboration Agreement, measurement of operating lease liabilities, and the fair value of stock options, stock appreciation rights, and restricted stock units (RSUs) granted to employees, directors and consultants.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Company’s significant accounting policies from those described in the Company’s Annual Report on Form 10-K for the year ended December 31, 2018, other than as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stock-based compensation to employees and Board members over the requisite service period based on the estimated grant-date fair value of the awards. Stock-based awards with graded-vesting schedules are recognized on a straight-line basis over the requisite service period for each separately vesting portion of the award.</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Prior to the adoption of ASU 2018-07 on January 1, 2019, the Company remeasures the fair value of the non-employee awards at each reporting period prior to vesting and finally at the vesting date of the award. Changes in the estimated fair value of these non-employee awards are recognized as compensation expense in the period of change. Subsequent to the adoption of ASU 2018-07, the Company recognizes non-employees compensation costs over the requisite service period based on a measurement of fair value for each stock award.</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restricted stock units is determined based on the number of shares granted and the quoted market price of the Company's common stock on the date of grant. The fair value of restricted stock units with performance conditions deemed probable of being achieved and vesting are amortized to expense over the requisite service period using the straight-line method of expense recognition.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Company’s leases are operating leases for facilities and equipment. Prior to January 1, 2019, the Company recognized related rent expense on a straight-line basis over the term of the lease. Incentives granted under the Company’s facilities lease, including allowances for leasehold improvements and rent holidays, were recognized as reductions to rental expense on a straight-line basis over the term of the lease. Deferred rent consisted of the difference between cash payments and the rent expense recognized.</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Subsequent to the adoption of the new leasing standard on January 1, 2019, the Company recognizes a lease asset for its right to use the underlying asset and a lease liability for the corresponding lease obligation. The Company determines whether an arrangement is or contains a lease at contract inception. Operating leases are included in operating lease right-of-use assets, operating lease liabilities - short-term, and operating lease liabilities - long-term in our condensed consolidated balance sheet at March 31, 2019. Operating lease right-of-use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operating lease right-of-use assets also include any lease payments made and exclude lease incentives. Lease expense is recognized on a straight-line basis over the expected lease term. Variable lease expenses are recorded when incurred. The Company has elected to not separate lease and non-lease components for its leased assets and account for all lease and non-lease components of its agreements as a single lease component.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 Securities that could potentially dilute loss per share in the future that were not included in the computation of diluted loss per share at March 31, 2019 and 2018 are as follows:</w:t>
      </w:r>
    </w:p>
    <w:p>
      <w:pPr>
        <w:sectPr>
          <w:pgSz w:w="11900" w:h="16838" w:orient="portrait"/>
          <w:cols w:equalWidth="0" w:num="1">
            <w:col w:w="11420"/>
          </w:cols>
          <w:pgMar w:left="240" w:top="904" w:right="239" w:bottom="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500" w:type="dxa"/>
            <w:vAlign w:val="bottom"/>
            <w:gridSpan w:val="4"/>
          </w:tcPr>
          <w:p>
            <w:pPr>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54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19"/>
                <w:szCs w:val="19"/>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5,111,590</w:t>
            </w:r>
          </w:p>
        </w:tc>
        <w:tc>
          <w:tcPr>
            <w:tcW w:w="1120" w:type="dxa"/>
            <w:vAlign w:val="bottom"/>
          </w:tcPr>
          <w:p>
            <w:pPr>
              <w:jc w:val="right"/>
              <w:spacing w:after="0"/>
              <w:rPr>
                <w:sz w:val="20"/>
                <w:szCs w:val="20"/>
                <w:color w:val="auto"/>
              </w:rPr>
            </w:pPr>
            <w:r>
              <w:rPr>
                <w:rFonts w:ascii="Arial" w:cs="Arial" w:eastAsia="Arial" w:hAnsi="Arial"/>
                <w:sz w:val="18"/>
                <w:szCs w:val="18"/>
                <w:color w:val="auto"/>
              </w:rPr>
              <w:t>4,826,361</w:t>
            </w:r>
          </w:p>
        </w:tc>
        <w:tc>
          <w:tcPr>
            <w:tcW w:w="60" w:type="dxa"/>
            <w:vAlign w:val="bottom"/>
          </w:tcPr>
          <w:p>
            <w:pPr>
              <w:spacing w:after="0"/>
              <w:rPr>
                <w:sz w:val="18"/>
                <w:szCs w:val="18"/>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units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607,656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251,559</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5,734,542</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5,093,216</w:t>
            </w:r>
          </w:p>
        </w:tc>
        <w:tc>
          <w:tcPr>
            <w:tcW w:w="6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(loss) income per common share computations is as follows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6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68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6880" w:type="dxa"/>
            <w:vAlign w:val="bottom"/>
          </w:tcPr>
          <w:p>
            <w:pPr>
              <w:ind w:left="340"/>
              <w:spacing w:after="0"/>
              <w:rPr>
                <w:sz w:val="20"/>
                <w:szCs w:val="20"/>
                <w:color w:val="auto"/>
              </w:rPr>
            </w:pPr>
            <w:r>
              <w:rPr>
                <w:rFonts w:ascii="Arial" w:cs="Arial" w:eastAsia="Arial" w:hAnsi="Arial"/>
                <w:sz w:val="18"/>
                <w:szCs w:val="18"/>
                <w:color w:val="auto"/>
              </w:rPr>
              <w:t>Net (loss) income (in thousands)</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(27,052)</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(16,249)</w:t>
            </w:r>
          </w:p>
        </w:tc>
      </w:tr>
      <w:tr>
        <w:trPr>
          <w:trHeight w:val="197"/>
        </w:trPr>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6880" w:type="dxa"/>
            <w:vAlign w:val="bottom"/>
          </w:tcPr>
          <w:p>
            <w:pPr>
              <w:ind w:left="340"/>
              <w:spacing w:after="0"/>
              <w:rPr>
                <w:sz w:val="20"/>
                <w:szCs w:val="20"/>
                <w:color w:val="auto"/>
              </w:rPr>
            </w:pPr>
            <w:r>
              <w:rPr>
                <w:rFonts w:ascii="Arial" w:cs="Arial" w:eastAsia="Arial" w:hAnsi="Arial"/>
                <w:sz w:val="18"/>
                <w:szCs w:val="18"/>
                <w:color w:val="auto"/>
                <w:w w:val="95"/>
              </w:rPr>
              <w:t>Weighted average common shares outstanding for diluted net (loss) income per share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25,668,798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20,231,804</w:t>
            </w:r>
          </w:p>
        </w:tc>
      </w:tr>
      <w:tr>
        <w:trPr>
          <w:trHeight w:val="197"/>
        </w:trPr>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income per share:</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tcPr>
          <w:p>
            <w:pPr>
              <w:ind w:left="34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r>
      <w:tr>
        <w:trPr>
          <w:trHeight w:val="216"/>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Under this standard, which applies to both lessors and lessees, lessees will be required to recognize all leases (except for short-term leases) as a lease liability, which is a lessee’s obligation to make lease payments arising from a lease measured on a discounted basis, and as a right-of-use asset, which is an asset that represents the lessee’s right to use, or control the use of, a specified asset for the lease term. Leases will be classified as either financing or operating, with classification affecting the pattern of expense recognition in the income statement.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the ASU 2016-02 on January 1, 2019 using the modified retrospective approach and elected the package of practical expedients permitted under transition guidance, which allowed the Company to carry forward its historical assessments of: 1) whether contracts are or contain leases, 2) lease classification and 3) initial direct costs. The Company did not elect the practical expedient allowing the use-of-hindsight which would require the Company to reassess the lease term of its leases based on all facts and circumstances through the effective date and did not elect the practical expedient pertaining to land easements as this is not applicable to the current contract portfolio. The Company elected the post-transition practical expedient to not separate lease components from nonlease components for all existing lease classes. The Company also elected a policy of not recording leases on its condensed consolidated balance sheets when the leases have a term of 12 months or less and the Company is not reasonably certain to elect an option to purchase the leased asset.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adoption of this standard resulted in the recognition of a ROU assets and lease liabilities of $13.8 million and $14.0 million, respectively, and the derecognition of the deferred rent balance of $0.1 million as of January 1, 2019. The adoption of the standard had no impact on the Company’s condensed consolidated statements of operations and comprehensive loss or to its cash flows from or used in operating, financing, or investing activities on its condensed consolidated statements of cash flows. No cumulative-effect adjustment within accumulated deficit was required to be recorded as a result of adopting this standard.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January 1, 2019, the Company adopted ASU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from Accumulated Other Comprehensive Income, </w:t>
      </w:r>
      <w:r>
        <w:rPr>
          <w:rFonts w:ascii="Arial" w:cs="Arial" w:eastAsia="Arial" w:hAnsi="Arial"/>
          <w:sz w:val="17"/>
          <w:szCs w:val="17"/>
          <w:color w:val="auto"/>
        </w:rPr>
        <w:t>which allows a reclassification from accumulated other comprehensive income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for stranded tax effects resulting from the federal corporate income tax rate enacted under the Tax Cuts and Jobs Act (the Tax Act). The amount of the reclassification would be the difference between the historical corporate income tax rate and the Tax Act’s 21% corporate income tax rate. The Company’s adoption of this standard did not have a material impact on its condensed consolidated financial statements.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January 1, 2019, the Company adopted ASU 2018-15, </w:t>
      </w:r>
      <w:r>
        <w:rPr>
          <w:rFonts w:ascii="Arial" w:cs="Arial" w:eastAsia="Arial" w:hAnsi="Arial"/>
          <w:sz w:val="16"/>
          <w:szCs w:val="16"/>
          <w:i w:val="1"/>
          <w:iCs w:val="1"/>
          <w:color w:val="auto"/>
        </w:rPr>
        <w:t>Intangibles (Topic 350): Customer’s Accounting for Implementation Costs Incurred in a Cloud</w:t>
      </w:r>
      <w:r>
        <w:rPr>
          <w:rFonts w:ascii="Arial" w:cs="Arial" w:eastAsia="Arial" w:hAnsi="Arial"/>
          <w:sz w:val="16"/>
          <w:szCs w:val="16"/>
          <w:color w:val="auto"/>
        </w:rPr>
        <w:t xml:space="preserve"> </w:t>
      </w:r>
      <w:r>
        <w:rPr>
          <w:rFonts w:ascii="Arial" w:cs="Arial" w:eastAsia="Arial" w:hAnsi="Arial"/>
          <w:sz w:val="16"/>
          <w:szCs w:val="16"/>
          <w:i w:val="1"/>
          <w:iCs w:val="1"/>
          <w:color w:val="auto"/>
        </w:rPr>
        <w:t>Computing Arrangement That Is a Service Contract</w:t>
      </w:r>
      <w:r>
        <w:rPr>
          <w:rFonts w:ascii="Arial" w:cs="Arial" w:eastAsia="Arial" w:hAnsi="Arial"/>
          <w:sz w:val="16"/>
          <w:szCs w:val="16"/>
          <w:color w:val="auto"/>
        </w:rPr>
        <w:t>, which aligns the requirements for capitalizing implementation costs incurred in a hosting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a service contract with the requirements for capitalizing implementation costs incurred to develop or obtain internal-use software. This new standard also requires customers to expense the capitalized implementation costs of a hosting arrangement that is a service contract over the term of the hosting arrangement. This new standard can be applied either retrospectively or prospectively to all implementation costs incurred after the date of adoption. The Company is currently evaluating the effect that the updated standard will have on its condensed consolidated financial statements and related disclosures.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On January 1, 2019, the Company adopted ASU 2018-07, </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(ASU 2018-17). ASU 2018-07 simplifies several aspects of the accounting for nonemployee share-based payment transactions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expanding the scope of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to include share-based payment transactions for acquiring goods and services from nonemployees. The Company’s adoption of this standard did not have a material impact on its condensed consolidated financial statements.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SEC adopted amendments to certain disclosure requirements in Securities Act Release No. 33-10532, </w:t>
      </w:r>
      <w:r>
        <w:rPr>
          <w:rFonts w:ascii="Arial" w:cs="Arial" w:eastAsia="Arial" w:hAnsi="Arial"/>
          <w:sz w:val="18"/>
          <w:szCs w:val="18"/>
          <w:i w:val="1"/>
          <w:iCs w:val="1"/>
          <w:color w:val="auto"/>
        </w:rPr>
        <w:t>Disclosure Update and</w:t>
      </w:r>
      <w:r>
        <w:rPr>
          <w:rFonts w:ascii="Arial" w:cs="Arial" w:eastAsia="Arial" w:hAnsi="Arial"/>
          <w:sz w:val="18"/>
          <w:szCs w:val="18"/>
          <w:color w:val="auto"/>
        </w:rPr>
        <w:t xml:space="preserve"> </w:t>
      </w:r>
      <w:r>
        <w:rPr>
          <w:rFonts w:ascii="Arial" w:cs="Arial" w:eastAsia="Arial" w:hAnsi="Arial"/>
          <w:sz w:val="18"/>
          <w:szCs w:val="18"/>
          <w:i w:val="1"/>
          <w:iCs w:val="1"/>
          <w:color w:val="auto"/>
        </w:rPr>
        <w:t>Simplification</w:t>
      </w:r>
      <w:r>
        <w:rPr>
          <w:rFonts w:ascii="Arial" w:cs="Arial" w:eastAsia="Arial" w:hAnsi="Arial"/>
          <w:sz w:val="18"/>
          <w:szCs w:val="18"/>
          <w:color w:val="auto"/>
        </w:rPr>
        <w:t>. The amendments became effective on November 5, 2018 and impacts the Company’s condensed consolidated financial statements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the addition of a requirement to present a statement of stockholders’ equity for interim periods. As a result of adopting this guidance, the Company is presenting comparative interim statements of stockholders’ equity in this Form 10-Q for the quarter ended March 31, 2019 and 2018. Additionally, the guidance also simplified certain non-material disclosures in its SEC filings.</w:t>
      </w:r>
    </w:p>
    <w:p>
      <w:pPr>
        <w:sectPr>
          <w:pgSz w:w="11900" w:h="16838" w:orient="portrait"/>
          <w:cols w:equalWidth="0" w:num="1">
            <w:col w:w="11420"/>
          </w:cols>
          <w:pgMar w:left="240" w:top="904" w:right="239" w:bottom="0" w:gutter="0" w:footer="0" w:header="0"/>
        </w:sectPr>
      </w:pPr>
    </w:p>
    <w:bookmarkStart w:id="10" w:name="page11"/>
    <w:bookmarkEnd w:id="10"/>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1" w:name="page12"/>
    <w:bookmarkEnd w:id="1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which clarifies that 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Topic 808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currently assessing the impact of this standard on its condensed consolidated financial statements.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which makes a number of changes meant to add, modify or remove certain disclosure requirements associated with the movement</w:t>
      </w:r>
      <w:r>
        <w:rPr>
          <w:rFonts w:ascii="Arial" w:cs="Arial" w:eastAsia="Arial" w:hAnsi="Arial"/>
          <w:sz w:val="16"/>
          <w:szCs w:val="16"/>
          <w:i w:val="1"/>
          <w:iCs w:val="1"/>
          <w:color w:val="auto"/>
        </w:rPr>
        <w:t xml:space="preserve"> </w:t>
      </w:r>
      <w:r>
        <w:rPr>
          <w:rFonts w:ascii="Arial" w:cs="Arial" w:eastAsia="Arial" w:hAnsi="Arial"/>
          <w:sz w:val="16"/>
          <w:szCs w:val="16"/>
          <w:color w:val="auto"/>
        </w:rPr>
        <w:t>amongst or hierarchy associated with Level 1, Level 2 and Level 3 fair value measurements. This guidance is effective for fiscal years, and interim periods within those fiscal years, beginning after December 15, 2019. Early adoption is permitted upon issuance of the update. The Company does not expect the adoption of this guidance to have a material impact on its condensed consolidated financial statements and related disclosures.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which requires that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The new standard will be effective on January 1, 2020. Early adoption is available. The Company is currently evaluating the effect that the updated standard will have on its condensed consolidated financial statements and related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in Marketable Securities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accrued expenses, lease liability-short term and deferred revenue-short term.</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the following three-level hierarchy that maximizes the use of observable inputs and minimizes the use of unobservable inputs to value its financial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Investments in marketable securities consisted of the following at: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rPr>
              <w:t>March 31, 2019</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5"/>
          </w:tcPr>
          <w:p>
            <w:pPr>
              <w:ind w:left="20"/>
              <w:spacing w:after="0" w:line="195" w:lineRule="exact"/>
              <w:rPr>
                <w:sz w:val="20"/>
                <w:szCs w:val="20"/>
                <w:color w:val="auto"/>
              </w:rPr>
            </w:pPr>
            <w:r>
              <w:rPr>
                <w:rFonts w:ascii="Arial" w:cs="Arial" w:eastAsia="Arial" w:hAnsi="Arial"/>
                <w:sz w:val="18"/>
                <w:szCs w:val="18"/>
                <w:b w:val="1"/>
                <w:bCs w:val="1"/>
                <w:color w:val="auto"/>
              </w:rPr>
              <w:t>Gross Unrealized</w:t>
            </w:r>
          </w:p>
        </w:tc>
        <w:tc>
          <w:tcPr>
            <w:tcW w:w="1520" w:type="dxa"/>
            <w:vAlign w:val="bottom"/>
            <w:gridSpan w:val="4"/>
          </w:tcPr>
          <w:p>
            <w:pPr>
              <w:ind w:left="20"/>
              <w:spacing w:after="0" w:line="195" w:lineRule="exact"/>
              <w:rPr>
                <w:sz w:val="20"/>
                <w:szCs w:val="20"/>
                <w:color w:val="auto"/>
              </w:rPr>
            </w:pPr>
            <w:r>
              <w:rPr>
                <w:rFonts w:ascii="Arial" w:cs="Arial" w:eastAsia="Arial" w:hAnsi="Arial"/>
                <w:sz w:val="18"/>
                <w:szCs w:val="18"/>
                <w:b w:val="1"/>
                <w:bCs w:val="1"/>
                <w:color w:val="auto"/>
                <w:w w:val="99"/>
              </w:rPr>
              <w:t>Gross Unrealized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 in thousands)</w:t>
            </w:r>
          </w:p>
        </w:tc>
        <w:tc>
          <w:tcPr>
            <w:tcW w:w="60" w:type="dxa"/>
            <w:vAlign w:val="bottom"/>
          </w:tcPr>
          <w:p>
            <w:pPr>
              <w:spacing w:after="0"/>
              <w:rPr>
                <w:sz w:val="23"/>
                <w:szCs w:val="23"/>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0"/>
              </w:rPr>
              <w:t>Amortized Cost</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3"/>
          </w:tcPr>
          <w:p>
            <w:pPr>
              <w:ind w:left="120"/>
              <w:spacing w:after="0" w:line="271" w:lineRule="exact"/>
              <w:rPr>
                <w:sz w:val="20"/>
                <w:szCs w:val="20"/>
                <w:color w:val="auto"/>
              </w:rPr>
            </w:pPr>
            <w:r>
              <w:rPr>
                <w:rFonts w:ascii="Arial" w:cs="Arial" w:eastAsia="Arial" w:hAnsi="Arial"/>
                <w:sz w:val="18"/>
                <w:szCs w:val="18"/>
                <w:b w:val="1"/>
                <w:bCs w:val="1"/>
                <w:color w:val="auto"/>
              </w:rPr>
              <w:t xml:space="preserve">Gain </w:t>
            </w:r>
            <w:r>
              <w:rPr>
                <w:rFonts w:ascii="Arial" w:cs="Arial" w:eastAsia="Arial" w:hAnsi="Arial"/>
                <w:sz w:val="30"/>
                <w:szCs w:val="30"/>
                <w:b w:val="1"/>
                <w:bCs w:val="1"/>
                <w:color w:val="auto"/>
                <w:vertAlign w:val="superscript"/>
              </w:rPr>
              <w:t>(1)</w:t>
            </w:r>
          </w:p>
        </w:tc>
        <w:tc>
          <w:tcPr>
            <w:tcW w:w="40" w:type="dxa"/>
            <w:vAlign w:val="bottom"/>
          </w:tcPr>
          <w:p>
            <w:pPr>
              <w:spacing w:after="0"/>
              <w:rPr>
                <w:sz w:val="23"/>
                <w:szCs w:val="23"/>
                <w:color w:val="auto"/>
              </w:rPr>
            </w:pPr>
          </w:p>
        </w:tc>
        <w:tc>
          <w:tcPr>
            <w:tcW w:w="980" w:type="dxa"/>
            <w:vAlign w:val="bottom"/>
          </w:tcPr>
          <w:p>
            <w:pPr>
              <w:ind w:left="360"/>
              <w:spacing w:after="0" w:line="271" w:lineRule="exact"/>
              <w:rPr>
                <w:sz w:val="20"/>
                <w:szCs w:val="20"/>
                <w:color w:val="auto"/>
              </w:rPr>
            </w:pPr>
            <w:r>
              <w:rPr>
                <w:rFonts w:ascii="Arial" w:cs="Arial" w:eastAsia="Arial" w:hAnsi="Arial"/>
                <w:sz w:val="18"/>
                <w:szCs w:val="18"/>
                <w:b w:val="1"/>
                <w:bCs w:val="1"/>
                <w:color w:val="auto"/>
                <w:w w:val="83"/>
              </w:rPr>
              <w:t xml:space="preserve">Loss </w:t>
            </w:r>
            <w:r>
              <w:rPr>
                <w:rFonts w:ascii="Arial" w:cs="Arial" w:eastAsia="Arial" w:hAnsi="Arial"/>
                <w:sz w:val="30"/>
                <w:szCs w:val="30"/>
                <w:b w:val="1"/>
                <w:bCs w:val="1"/>
                <w:color w:val="auto"/>
                <w:w w:val="83"/>
                <w:vertAlign w:val="superscript"/>
              </w:rPr>
              <w:t>(1)</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available-for-sale debt securities</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U.S. and foreign corporate debt securities</w:t>
            </w:r>
          </w:p>
        </w:tc>
        <w:tc>
          <w:tcPr>
            <w:tcW w:w="46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60,799</w:t>
            </w:r>
          </w:p>
        </w:tc>
        <w:tc>
          <w:tcPr>
            <w:tcW w:w="80" w:type="dxa"/>
            <w:vAlign w:val="bottom"/>
          </w:tcPr>
          <w:p>
            <w:pPr>
              <w:spacing w:after="0"/>
              <w:rPr>
                <w:sz w:val="18"/>
                <w:szCs w:val="18"/>
                <w:color w:val="auto"/>
              </w:rPr>
            </w:pPr>
          </w:p>
        </w:tc>
        <w:tc>
          <w:tcPr>
            <w:tcW w:w="3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60,801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33,017</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29,866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29,873</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and foreign commercial paper</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40,738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40,738</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(1)  Gross unrealized gain (loss) is pre-tax.</w:t>
            </w: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December 31, 2018</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4"/>
          </w:tcPr>
          <w:p>
            <w:pPr>
              <w:jc w:val="right"/>
              <w:ind w:right="180"/>
              <w:spacing w:after="0" w:line="195" w:lineRule="exact"/>
              <w:rPr>
                <w:sz w:val="20"/>
                <w:szCs w:val="20"/>
                <w:color w:val="auto"/>
              </w:rPr>
            </w:pPr>
            <w:r>
              <w:rPr>
                <w:rFonts w:ascii="Arial" w:cs="Arial" w:eastAsia="Arial" w:hAnsi="Arial"/>
                <w:sz w:val="18"/>
                <w:szCs w:val="18"/>
                <w:b w:val="1"/>
                <w:bCs w:val="1"/>
                <w:color w:val="auto"/>
                <w:w w:val="89"/>
              </w:rPr>
              <w:t>Gross Unrealized</w:t>
            </w:r>
          </w:p>
        </w:tc>
        <w:tc>
          <w:tcPr>
            <w:tcW w:w="40" w:type="dxa"/>
            <w:vAlign w:val="bottom"/>
          </w:tcPr>
          <w:p>
            <w:pPr>
              <w:spacing w:after="0"/>
              <w:rPr>
                <w:sz w:val="16"/>
                <w:szCs w:val="16"/>
                <w:color w:val="auto"/>
              </w:rPr>
            </w:pPr>
          </w:p>
        </w:tc>
        <w:tc>
          <w:tcPr>
            <w:tcW w:w="14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98"/>
              </w:rPr>
              <w:t>Gross Unrealized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 in thousands)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1"/>
              </w:rPr>
              <w:t>Amortized Cost</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3"/>
          </w:tcPr>
          <w:p>
            <w:pPr>
              <w:ind w:left="160"/>
              <w:spacing w:after="0" w:line="271" w:lineRule="exact"/>
              <w:rPr>
                <w:sz w:val="20"/>
                <w:szCs w:val="20"/>
                <w:color w:val="auto"/>
              </w:rPr>
            </w:pPr>
            <w:r>
              <w:rPr>
                <w:rFonts w:ascii="Arial" w:cs="Arial" w:eastAsia="Arial" w:hAnsi="Arial"/>
                <w:sz w:val="18"/>
                <w:szCs w:val="18"/>
                <w:b w:val="1"/>
                <w:bCs w:val="1"/>
                <w:color w:val="auto"/>
              </w:rPr>
              <w:t xml:space="preserve">Gain </w:t>
            </w:r>
            <w:r>
              <w:rPr>
                <w:rFonts w:ascii="Arial" w:cs="Arial" w:eastAsia="Arial" w:hAnsi="Arial"/>
                <w:sz w:val="30"/>
                <w:szCs w:val="30"/>
                <w:b w:val="1"/>
                <w:bCs w:val="1"/>
                <w:color w:val="auto"/>
                <w:vertAlign w:val="superscript"/>
              </w:rPr>
              <w:t>(1)</w:t>
            </w:r>
          </w:p>
        </w:tc>
        <w:tc>
          <w:tcPr>
            <w:tcW w:w="40" w:type="dxa"/>
            <w:vAlign w:val="bottom"/>
          </w:tcPr>
          <w:p>
            <w:pPr>
              <w:spacing w:after="0"/>
              <w:rPr>
                <w:sz w:val="23"/>
                <w:szCs w:val="23"/>
                <w:color w:val="auto"/>
              </w:rPr>
            </w:pPr>
          </w:p>
        </w:tc>
        <w:tc>
          <w:tcPr>
            <w:tcW w:w="980" w:type="dxa"/>
            <w:vAlign w:val="bottom"/>
          </w:tcPr>
          <w:p>
            <w:pPr>
              <w:ind w:left="380"/>
              <w:spacing w:after="0" w:line="271" w:lineRule="exact"/>
              <w:rPr>
                <w:sz w:val="20"/>
                <w:szCs w:val="20"/>
                <w:color w:val="auto"/>
              </w:rPr>
            </w:pPr>
            <w:r>
              <w:rPr>
                <w:rFonts w:ascii="Arial" w:cs="Arial" w:eastAsia="Arial" w:hAnsi="Arial"/>
                <w:sz w:val="18"/>
                <w:szCs w:val="18"/>
                <w:b w:val="1"/>
                <w:bCs w:val="1"/>
                <w:color w:val="auto"/>
                <w:w w:val="81"/>
              </w:rPr>
              <w:t xml:space="preserve">Loss </w:t>
            </w:r>
            <w:r>
              <w:rPr>
                <w:rFonts w:ascii="Arial" w:cs="Arial" w:eastAsia="Arial" w:hAnsi="Arial"/>
                <w:sz w:val="30"/>
                <w:szCs w:val="30"/>
                <w:b w:val="1"/>
                <w:bCs w:val="1"/>
                <w:color w:val="auto"/>
                <w:w w:val="81"/>
                <w:vertAlign w:val="superscript"/>
              </w:rPr>
              <w:t>(1)</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Short-term available-for-sale debt securities</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Corporate bonds</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101,701</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5"/>
              </w:rPr>
              <w:t>(122)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101,579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Treasury securities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19,898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19,894</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Commercial paper</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55,136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55,136</w:t>
            </w:r>
          </w:p>
        </w:tc>
        <w:tc>
          <w:tcPr>
            <w:tcW w:w="0" w:type="dxa"/>
            <w:vAlign w:val="bottom"/>
          </w:tcPr>
          <w:p>
            <w:pPr>
              <w:spacing w:after="0"/>
              <w:rPr>
                <w:sz w:val="1"/>
                <w:szCs w:val="1"/>
                <w:color w:val="auto"/>
              </w:rPr>
            </w:pPr>
          </w:p>
        </w:tc>
      </w:tr>
      <w:tr>
        <w:trPr>
          <w:trHeight w:val="158"/>
        </w:trPr>
        <w:tc>
          <w:tcPr>
            <w:tcW w:w="54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sectPr>
      </w:pPr>
    </w:p>
    <w:bookmarkStart w:id="12" w:name="page13"/>
    <w:bookmarkEnd w:id="12"/>
    <w:p>
      <w:pPr>
        <w:spacing w:after="0"/>
        <w:tabs>
          <w:tab w:leader="none" w:pos="5480" w:val="left"/>
          <w:tab w:leader="none" w:pos="6140" w:val="left"/>
          <w:tab w:leader="none" w:pos="6940" w:val="left"/>
          <w:tab w:leader="none" w:pos="8220" w:val="left"/>
          <w:tab w:leader="none" w:pos="8500" w:val="left"/>
          <w:tab w:leader="none" w:pos="9500" w:val="left"/>
          <w:tab w:leader="none" w:pos="10040" w:val="left"/>
          <w:tab w:leader="none" w:pos="1070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176,735</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(126)</w:t>
        <w:tab/>
        <w:t>$</w:t>
      </w:r>
      <w:r>
        <w:rPr>
          <w:sz w:val="20"/>
          <w:szCs w:val="20"/>
          <w:color w:val="auto"/>
        </w:rPr>
        <w:tab/>
      </w:r>
      <w:r>
        <w:rPr>
          <w:rFonts w:ascii="Arial" w:cs="Arial" w:eastAsia="Arial" w:hAnsi="Arial"/>
          <w:sz w:val="16"/>
          <w:szCs w:val="16"/>
          <w:color w:val="auto"/>
        </w:rPr>
        <w:t>176,609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6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Gross unrealized gain (loss) is pre-tax.</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contractual term to maturity of short-term marketable securities held by the Company as of March 31, 2019 is less than one year. There were no long-term marketable securities held by the Company as of March 31, 2019.</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Realized gains and losses for the three months ended March 31, 2018 and 2017 were not significant. The unrealized losses for the Company’s investments that have been in a continuous unrealized loss position for more than 12 months as of March 31, 2019 and December 31, 2018 were also not significant.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in thousands)</w:t>
            </w:r>
          </w:p>
        </w:tc>
        <w:tc>
          <w:tcPr>
            <w:tcW w:w="2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1040" w:type="dxa"/>
            <w:vAlign w:val="bottom"/>
          </w:tcPr>
          <w:p>
            <w:pPr>
              <w:jc w:val="right"/>
              <w:ind w:right="77"/>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Money market fund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25,434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25,434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U.S. and foreign corporate debt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60,801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29,873</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and foreign commercial paper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8"/>
                <w:szCs w:val="18"/>
                <w:b w:val="1"/>
                <w:bCs w:val="1"/>
                <w:color w:val="auto"/>
              </w:rPr>
              <w:t>December 31, 2018</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1040" w:type="dxa"/>
            <w:vAlign w:val="bottom"/>
          </w:tcPr>
          <w:p>
            <w:pPr>
              <w:jc w:val="right"/>
              <w:ind w:right="77"/>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39,345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39,345</w:t>
            </w: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and foreign commercial paper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5620" w:type="dxa"/>
            <w:vAlign w:val="bottom"/>
          </w:tcPr>
          <w:p>
            <w:pPr>
              <w:ind w:left="18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39,345</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U.S. and foreign commercial paper</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55,136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55,136</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and foreign corporate debt securities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73,159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73,159</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28,419</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28,419</w:t>
            </w: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19,895</w:t>
            </w:r>
          </w:p>
        </w:tc>
      </w:tr>
      <w:tr>
        <w:trPr>
          <w:trHeight w:val="21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176,609</w:t>
            </w:r>
          </w:p>
        </w:tc>
        <w:tc>
          <w:tcPr>
            <w:tcW w:w="100" w:type="dxa"/>
            <w:vAlign w:val="bottom"/>
            <w:tcBorders>
              <w:bottom w:val="single" w:sz="8" w:color="CCEEFF"/>
            </w:tcBorders>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fair value of its corporate debt, asset-backed securities, and U.S. treasury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Note 4 - Property and Equipment, net</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6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 in thousands)</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March 31,</w:t>
            </w:r>
          </w:p>
        </w:tc>
        <w:tc>
          <w:tcPr>
            <w:tcW w:w="20" w:type="dxa"/>
            <w:vAlign w:val="bottom"/>
          </w:tcPr>
          <w:p>
            <w:pPr>
              <w:spacing w:after="0"/>
              <w:rPr>
                <w:sz w:val="24"/>
                <w:szCs w:val="24"/>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180" w:type="dxa"/>
            <w:vAlign w:val="bottom"/>
            <w:vMerge w:val="continue"/>
          </w:tcPr>
          <w:p>
            <w:pPr>
              <w:spacing w:after="0"/>
              <w:rPr>
                <w:sz w:val="20"/>
                <w:szCs w:val="20"/>
                <w:color w:val="auto"/>
              </w:rPr>
            </w:pPr>
          </w:p>
        </w:tc>
        <w:tc>
          <w:tcPr>
            <w:tcW w:w="1940" w:type="dxa"/>
            <w:vAlign w:val="bottom"/>
            <w:gridSpan w:val="2"/>
          </w:tcPr>
          <w:p>
            <w:pPr>
              <w:ind w:left="180"/>
              <w:spacing w:after="0"/>
              <w:rPr>
                <w:sz w:val="20"/>
                <w:szCs w:val="20"/>
                <w:color w:val="auto"/>
              </w:rPr>
            </w:pPr>
            <w:r>
              <w:rPr>
                <w:rFonts w:ascii="Arial" w:cs="Arial" w:eastAsia="Arial" w:hAnsi="Arial"/>
                <w:sz w:val="18"/>
                <w:szCs w:val="18"/>
                <w:b w:val="1"/>
                <w:bCs w:val="1"/>
                <w:color w:val="auto"/>
              </w:rPr>
              <w:t>Useful life (Years)</w:t>
            </w:r>
          </w:p>
        </w:tc>
        <w:tc>
          <w:tcPr>
            <w:tcW w:w="1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Computer hardware and software</w:t>
            </w:r>
          </w:p>
        </w:tc>
        <w:tc>
          <w:tcPr>
            <w:tcW w:w="17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79"/>
              </w:rPr>
              <w:t>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Lab equipment</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to 5</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equipment</w:t>
            </w:r>
          </w:p>
        </w:tc>
        <w:tc>
          <w:tcPr>
            <w:tcW w:w="17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Leasehold improvement</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 to 3.25</w:t>
            </w: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expense for the three months ended March 31, 2019 and 2018 was approximately $0.1 million and $0.2 million, respectively, and was recorded in both research and development expense and general and administrative expense in the unaudited condensed consolidated statements of operations and comprehensive loss.</w:t>
      </w:r>
    </w:p>
    <w:p>
      <w:pPr>
        <w:sectPr>
          <w:pgSz w:w="11900" w:h="16838" w:orient="portrait"/>
          <w:cols w:equalWidth="0" w:num="1">
            <w:col w:w="11420"/>
          </w:cols>
          <w:pgMar w:left="240" w:top="904"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00" w:lineRule="exact"/>
        <w:rPr>
          <w:sz w:val="20"/>
          <w:szCs w:val="20"/>
          <w:color w:val="auto"/>
        </w:rPr>
      </w:pPr>
    </w:p>
    <w:p>
      <w:pPr>
        <w:spacing w:after="0" w:line="255"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auto"/>
        </w:rPr>
        <w:t>($ in thousands)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Accrued compensation</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Accrued clinical trial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6"/>
          <w:szCs w:val="16"/>
          <w:color w:val="auto"/>
        </w:rPr>
        <w:t>Accrued professional fees and other</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Total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March 31,</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411"/>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2,276</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5,011</w:t>
            </w:r>
          </w:p>
        </w:tc>
      </w:tr>
      <w:tr>
        <w:trPr>
          <w:trHeight w:val="230"/>
        </w:trPr>
        <w:tc>
          <w:tcPr>
            <w:tcW w:w="1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6,638</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3,561</w:t>
            </w:r>
          </w:p>
        </w:tc>
      </w:tr>
      <w:tr>
        <w:trPr>
          <w:trHeight w:val="230"/>
        </w:trPr>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1,227</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10,141</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36" w:lineRule="exact"/>
        <w:rPr>
          <w:sz w:val="20"/>
          <w:szCs w:val="20"/>
          <w:color w:val="auto"/>
        </w:rPr>
      </w:pPr>
    </w:p>
    <w:p>
      <w:pPr>
        <w:sectPr>
          <w:pgSz w:w="11900" w:h="16838" w:orient="portrait"/>
          <w:cols w:equalWidth="0" w:num="2">
            <w:col w:w="6360" w:space="720"/>
            <w:col w:w="4340"/>
          </w:cols>
          <w:pgMar w:left="240" w:top="904" w:right="239" w:bottom="1440" w:gutter="0" w:footer="0" w:header="0"/>
          <w:type w:val="continuous"/>
        </w:sectPr>
      </w:pPr>
    </w:p>
    <w:p>
      <w:pPr>
        <w:spacing w:after="0" w:line="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was authorized to issue 5,000,000 shares of preferred stock as of March 31, 2019 and December 31, 2018. The Company was authorized to issue 100,000,000 shares of common stock as of March 31, 2019 and December 31,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2019, the Company issued an aggregate of 21,000 shares of common stock and received gross proceeds of approximately $0.1 million from the exercise of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Incentive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2018, the Company’s stockholders approved the Assembly Biosciences, Inc. 2018 Stock Incentive Plan (the 2018 Plan) pursuant to which the Company reserved 1,900,000 shares of its common stock for issuance in connection with equity incentive awards. In May 2018, the Company’s stockholders also approved the Assembly Biosciences, Inc. Employee Stock Purchase Plan (the 2018 ESPP), pursuant to which eligible employees can purchase an aggregate of up to 400,000 shares of the Company’s common stock at the end of predetermined offering periods at 85% of the lower of the fair market value at the beginning or end of the offering period.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2019, the Company had awards outstanding under the following shareholder approved plans: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Shares underlying awards that are forfeited under the 2014 Plan on or after May 30, 2018 will also become available for issuance under the 2018 Plan. As of March 31, 2019, the Company also had awards outstanding under the Assembly Biosciences, Inc. 2017 Inducement Award Plan (the 2017 Plan).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new shares of common stock to settle options exercised and upon settlement of vested RSUs.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Plan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for the three-month period ended March 31,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2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Total Intrinsic</w:t>
            </w:r>
          </w:p>
        </w:tc>
      </w:tr>
      <w:tr>
        <w:trPr>
          <w:trHeight w:val="216"/>
        </w:trPr>
        <w:tc>
          <w:tcPr>
            <w:tcW w:w="6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Value (in</w:t>
            </w:r>
          </w:p>
        </w:tc>
      </w:tr>
      <w:tr>
        <w:trPr>
          <w:trHeight w:val="234"/>
        </w:trPr>
        <w:tc>
          <w:tcPr>
            <w:tcW w:w="68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Number of Shares</w:t>
            </w:r>
          </w:p>
        </w:tc>
        <w:tc>
          <w:tcPr>
            <w:tcW w:w="1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 Share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thousands)</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4,637,145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506,750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(11,305)</w:t>
            </w:r>
          </w:p>
        </w:tc>
        <w:tc>
          <w:tcPr>
            <w:tcW w:w="1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27.28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March 31, 2019</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5,111,590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Options vested and exercisable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3,340,107</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11.37</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35,303</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RSUs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 and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r>
      <w:tr>
        <w:trPr>
          <w:trHeight w:val="234"/>
        </w:trPr>
        <w:tc>
          <w:tcPr>
            <w:tcW w:w="158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w w:val="90"/>
              </w:rPr>
              <w:t>Number of RSUs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grant price</w:t>
            </w:r>
          </w:p>
        </w:tc>
      </w:tr>
      <w:tr>
        <w:trPr>
          <w:trHeight w:val="195"/>
        </w:trPr>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568,005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37.18</w:t>
            </w:r>
          </w:p>
        </w:tc>
        <w:tc>
          <w:tcPr>
            <w:tcW w:w="20" w:type="dxa"/>
            <w:vAlign w:val="bottom"/>
          </w:tcPr>
          <w:p>
            <w:pPr>
              <w:spacing w:after="0"/>
              <w:rPr>
                <w:sz w:val="16"/>
                <w:szCs w:val="16"/>
                <w:color w:val="auto"/>
              </w:rPr>
            </w:pPr>
          </w:p>
        </w:tc>
      </w:tr>
      <w:tr>
        <w:trPr>
          <w:trHeight w:val="216"/>
        </w:trPr>
        <w:tc>
          <w:tcPr>
            <w:tcW w:w="1300" w:type="dxa"/>
            <w:vAlign w:val="bottom"/>
          </w:tcPr>
          <w:p>
            <w:pPr>
              <w:jc w:val="right"/>
              <w:spacing w:after="0"/>
              <w:rPr>
                <w:sz w:val="20"/>
                <w:szCs w:val="20"/>
                <w:color w:val="auto"/>
              </w:rPr>
            </w:pPr>
            <w:r>
              <w:rPr>
                <w:rFonts w:ascii="Arial" w:cs="Arial" w:eastAsia="Arial" w:hAnsi="Arial"/>
                <w:sz w:val="18"/>
                <w:szCs w:val="18"/>
                <w:color w:val="auto"/>
              </w:rPr>
              <w:t>215,928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19.69</w:t>
            </w:r>
          </w:p>
        </w:tc>
      </w:tr>
      <w:tr>
        <w:trPr>
          <w:trHeight w:val="216"/>
        </w:trPr>
        <w:tc>
          <w:tcPr>
            <w:tcW w:w="1580" w:type="dxa"/>
            <w:vAlign w:val="bottom"/>
            <w:gridSpan w:val="2"/>
          </w:tcPr>
          <w:p>
            <w:pPr>
              <w:jc w:val="right"/>
              <w:ind w:right="145"/>
              <w:spacing w:after="0"/>
              <w:rPr>
                <w:sz w:val="20"/>
                <w:szCs w:val="20"/>
                <w:color w:val="auto"/>
              </w:rPr>
            </w:pPr>
            <w:r>
              <w:rPr>
                <w:rFonts w:ascii="Arial" w:cs="Arial" w:eastAsia="Arial" w:hAnsi="Arial"/>
                <w:sz w:val="18"/>
                <w:szCs w:val="18"/>
                <w:color w:val="auto"/>
              </w:rPr>
              <w:t>(63,920)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46.03</w:t>
            </w:r>
          </w:p>
        </w:tc>
      </w:tr>
      <w:tr>
        <w:trPr>
          <w:trHeight w:val="244"/>
        </w:trPr>
        <w:tc>
          <w:tcPr>
            <w:tcW w:w="1580" w:type="dxa"/>
            <w:vAlign w:val="bottom"/>
            <w:gridSpan w:val="2"/>
          </w:tcPr>
          <w:p>
            <w:pPr>
              <w:jc w:val="right"/>
              <w:ind w:right="145"/>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49.14</w:t>
            </w:r>
          </w:p>
        </w:tc>
      </w:tr>
      <w:tr>
        <w:trPr>
          <w:trHeight w:val="223"/>
        </w:trPr>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719,323</w:t>
            </w:r>
          </w:p>
        </w:tc>
        <w:tc>
          <w:tcPr>
            <w:tcW w:w="280" w:type="dxa"/>
            <w:vAlign w:val="bottom"/>
          </w:tcPr>
          <w:p>
            <w:pPr>
              <w:jc w:val="right"/>
              <w:ind w:right="25"/>
              <w:spacing w:after="0"/>
              <w:rPr>
                <w:sz w:val="20"/>
                <w:szCs w:val="20"/>
                <w:color w:val="auto"/>
              </w:rPr>
            </w:pPr>
            <w:r>
              <w:rPr>
                <w:rFonts w:ascii="Arial" w:cs="Arial" w:eastAsia="Arial" w:hAnsi="Arial"/>
                <w:sz w:val="15"/>
                <w:szCs w:val="15"/>
                <w:color w:val="auto"/>
                <w:w w:val="87"/>
              </w:rPr>
              <w:t>(1)</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31.13</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720"/>
            <w:col w:w="2940"/>
          </w:cols>
          <w:pgMar w:left="240" w:top="904"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(1) Includes 111,667 RSUs that have vested but are subject to deferred settlement.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March 31, 2019, RSUs outstanding include 145,000 RSUs granted in December 2017 and 2018 with performance-based conditions to executives of the Company. Of these awards, 100,000 RSUs with a grant date fair value of $2.4 million vest over time but will be accelerated upon the achievement of certain performance conditions. The Company is recognizing expense for this award over the vesting period as it does not believe that any of the performance conditions are probable of being met. The remaining 45,000 RSUs with a grant date fair value of $1.9 million vest upon the performance conditions not yet deemed probable and accordingly no compensation expense has been recognized as of March 31, 2019 for these awards.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the Company had unrecognized stock-based compensation expense related to all unvested RSUs of $13.2 million. The weighted average remaining contractual term of unvested RSUs is approximately 9.6 years at March 31, 2019.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Valuation Assumptions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 stock options granted or modified during the periods indicated was estimated using the Black-Scholes option pricing model, based on the following assumptions: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338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9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5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$ 19.69 - $23.04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$ 45.80 - $57.53</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75.0% - 83.2%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77.0%</w:t>
            </w:r>
          </w:p>
        </w:tc>
        <w:tc>
          <w:tcPr>
            <w:tcW w:w="780" w:type="dxa"/>
            <w:vAlign w:val="bottom"/>
          </w:tcPr>
          <w:p>
            <w:pPr>
              <w:ind w:left="20"/>
              <w:spacing w:after="0"/>
              <w:rPr>
                <w:sz w:val="20"/>
                <w:szCs w:val="20"/>
                <w:color w:val="auto"/>
              </w:rPr>
            </w:pPr>
            <w:r>
              <w:rPr>
                <w:rFonts w:ascii="Arial" w:cs="Arial" w:eastAsia="Arial" w:hAnsi="Arial"/>
                <w:sz w:val="18"/>
                <w:szCs w:val="18"/>
                <w:color w:val="auto"/>
              </w:rPr>
              <w:t>- 86.1%</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5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2.24% - 2.65%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- 2.79%</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term (years)</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5.5 – 7.0</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780" w:type="dxa"/>
            <w:vAlign w:val="bottom"/>
          </w:tcPr>
          <w:p>
            <w:pPr>
              <w:ind w:left="20"/>
              <w:spacing w:after="0"/>
              <w:rPr>
                <w:sz w:val="20"/>
                <w:szCs w:val="20"/>
                <w:color w:val="auto"/>
              </w:rPr>
            </w:pPr>
            <w:r>
              <w:rPr>
                <w:rFonts w:ascii="Arial" w:cs="Arial" w:eastAsia="Arial" w:hAnsi="Arial"/>
                <w:sz w:val="18"/>
                <w:szCs w:val="18"/>
                <w:color w:val="auto"/>
              </w:rPr>
              <w:t>- 7.0</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granted is determined based on the price of the Company's common stock on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 Expense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and comprehensive loss: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5420" w:type="dxa"/>
            <w:vAlign w:val="bottom"/>
            <w:gridSpan w:val="7"/>
          </w:tcPr>
          <w:p>
            <w:pPr>
              <w:ind w:left="2900"/>
              <w:spacing w:after="0"/>
              <w:rPr>
                <w:sz w:val="20"/>
                <w:szCs w:val="20"/>
                <w:color w:val="auto"/>
              </w:rPr>
            </w:pPr>
            <w:r>
              <w:rPr>
                <w:rFonts w:ascii="Arial" w:cs="Arial" w:eastAsia="Arial" w:hAnsi="Arial"/>
                <w:sz w:val="18"/>
                <w:szCs w:val="18"/>
                <w:b w:val="1"/>
                <w:bCs w:val="1"/>
                <w:color w:val="auto"/>
                <w:w w:val="93"/>
              </w:rPr>
              <w:t>Three Months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 in thousands)</w:t>
            </w:r>
          </w:p>
        </w:tc>
        <w:tc>
          <w:tcPr>
            <w:tcW w:w="2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20" w:type="dxa"/>
            <w:vAlign w:val="bottom"/>
            <w:vMerge w:val="restart"/>
          </w:tcPr>
          <w:p>
            <w:pPr>
              <w:jc w:val="right"/>
              <w:ind w:right="187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Collaboration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January 2017, the Company entered into the Collaboration Agreement with Allergan to develop and commercialize select microbiome gastrointestinal disease therapies. Pursuant to the Collaboration Agreement, the Company granted Allergan an exclusive worldwide license to certain of its intellectual property, including its intellectual property arising under the Collaboration Agreement, to develop and commercialize licensed compounds for UC, Crohn’s disease, and two compounds for IBS. Allergan and the Company also agreed to collaborate on research and development activities with respect to the licensed compounds in accordance with a mutually agreed upon research and development plan. Per the terms of the Collaboration Agreement, Allergan can select backups and additional target indications to add to the licenses granted for additional consideration and also has the ability to enter into a contract manufacturing agreement with the Company for compound supply at cost plus an agreed upon margin. In addition, the Company will participate on a Joint Development Committee (JDC) and Joint Patent Committee (JPC). The Company provided to Allegan standard indemnification and protection of licensed intellectual property, which is part of assurance that the license meets the contract’s specifications and is not an obligation to provide goods or services.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Allergan paid the Company an upfront non-refundable payment of $50.0 million, which was received in 2017. Additionally, the Company is eligible to receive variable consideration in the form of research and development cost reimbursements, up to approximately $631.0 million related to seven development milestones and up to approximately $2.14 billion related to 12 commercial development and sales milestones in connection with the successful development and commercialization of licensed compounds. In addition, the Company is eligible to receive tiered royalties at rates ranging from the mid-single digits to the mid-teens based on net sales.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Allergan and the Company have agreed to share research and development costs up to an aggregate of $75.0 million through proof-of-concept (POC) studies on a ⅔, ⅓ basis, respectively, and Allergan has agreed to assume all post-POC development costs. In the event any pre-POC development costs exceed $75.0 million in the aggregate, the Company may elect either (a) to fund ⅓ of such costs in excess of $75.0 million or (b) to allow Allergan to deduct from future development milestone payments ⅓ of the development costs funded by Allergan in excess of $75.0 million plus a premium of 25%. The Company has an option to co-promote the licensed programs in the U.S. and China, subject to certain conditions set forth in the Collaboration Agreement.</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Allergan may terminate the Collaboration Agreement at any time upon either 90 days’ (prior to the initiation of the first POC trial of a licensed product) or 120 days’ (after the initiation of the first POC trial of a licensed product), as applicable, advance written notice to the Company. Unless terminated early, the Collaboration Agreement has a term that ends on the earlier of the (i) the period when POC studies have been completed and no further licensed compounds are in development, and (ii) expiration of the last to exist valid claim covering the manufacture, use and sale of the licensed compounds. The Collaboration Agreement also contains customary provisions for termination by either party, including in the event of breach of the Collaboration Agreement, subject to cure. Upon termination for convenience, the licenses granted by the Company and its know how all revert to the Company.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concluded that Allegan is a customer and that the Collaboration Agreement is not subject to accounting literature on collaborative arrangements. This is because the Company granted to Allergan licenses to its intellectual property, and research and development services, all of which are outputs of the Company’s ongoing activities, in exchange for consideration. The Company identified the following material promises under the Collaboration Agreement: (1) transfer of a licenses to intellectual property for the four initial indications, inclusive of the related technology know-how (Licenses); and</w:t>
      </w:r>
    </w:p>
    <w:p>
      <w:pPr>
        <w:spacing w:after="0" w:line="2" w:lineRule="exact"/>
        <w:rPr>
          <w:sz w:val="20"/>
          <w:szCs w:val="20"/>
          <w:color w:val="auto"/>
        </w:rPr>
      </w:pPr>
    </w:p>
    <w:p>
      <w:pPr>
        <w:jc w:val="both"/>
        <w:ind w:firstLine="8"/>
        <w:spacing w:after="0" w:line="252" w:lineRule="auto"/>
        <w:tabs>
          <w:tab w:leader="none" w:pos="26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obligation to perform research development services through POC (Development Services). The Company’s participation on the JDC and JPC were considered to be immaterial in the context of the contract. The Company’s co-promotion option was not considered to be a performance obligation. Allergan’s selection of backups or additional target indications to add to the licenses granted for additional consideration and ability to enter into a contract manufacturing agreement with the Company for compound supply at cost plus an agreed upon margin were not considered to be performance obligations as the Company concluded the options were not offered at a discount that exceeds discounts available to other customers, and therefore were not material rights. The grant of additional licensing rights upon option exercises and contract manufacturing agreements will be accounted for as separate contracts when they occur.</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concluded the Licenses each were considered to be functional as they have significant standalone functionality and were capable of being distinct. However, the Company determined that each of the Licenses individually were not distinct from the Development Services within the context of the agreement. This is because Allergan is dependent on the Company to execute the Development Services, that it is only uniquely able to perform, in order for Allergan to benefit from the Licenses. As such, the Company determined that it has four performance obligations under the Collaboration Agreement associated with the transfer of the four compound Licenses combined with the performance of the Development Services for each of the four compound indications. The Company determined that the four performance obligations will be performed over the duration of the contract, which began in February 2017 and ends upon completion of the Development Services which is currently estimated to occur in 2024. The Company is using a cost-based input method to measure proportional performance and to calculate the corresponding amount of revenue to recognize. The Company believes this is the best measure of progress because other measures do not reflect how the Company transfers its performance obligation to Allegan. In applying the cost-based input method of revenue recognition, the Company measures costs incurred relative to budgeted costs to fulfill the four performance obligations. These costs consist primarily of third-party contract costs and internal labor costs. Revenue will be recognized based on actual costs incurred as a percentage of total budgeted costs as the Company completes its performance obligations.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allocate transaction price among the four performance obligations, the Company estimated their standalone selling price (SSP) using income-based valuation approach for the estimated value a licensor of the compounds would receive considering the stage of the compounds development. The Company believes that a change in the assumptions used to determine its best estimate of selling price for the four performance obligations would not have a significant effect on the allocation of consideration received to the four performance obligations.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transaction price at the inception of the agreement and upon adoption of ASC 606, was limited to $50.0 million upfront payment. Of this amount, the Company allocated $12.5 million to each of the four performance obligations. Research and development cost reimbursement payments are included in the transaction price in the reporting period that the Company concludes that it is probable that recording revenue in the period will not result in a significant reversal in amounts recognized in future periods. The variable consideration related to the remaining development and commercialization milestone payments has not been included in the transaction price as these were fully constrained at March 31, 2019. As part of the Company’s evaluation of the development and commercialization milestones constraint, the Company determined that the achievement of such milestones are contingent upon success in future clinical trials and regulatory approvals which are not within its control and uncertain at this stage. Any variable consideration related to sales-based milestones (including royalties) will be recognized when the related sales occur as they were determined to relate predominantly to the license granted to Allergan. The Company will re-evaluate the transaction price in each reporting period and as uncertain events are resolved or other changes in circumstances occur.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any significant incremental costs of obtaining the Allergan contract.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2019 and 2018, the Company recorded approximately $3.9 million and $3.6 million, respectively, in revenue associated with the Collaboration Agreement. Short-term and long-term deferred revenue contract liabilities related to the Collaboration Agreement were approximately $9.9 million and approximately $29.9 million at March 31, 2019 and approximately $5.1 million and approximately $35.6 million at December 31, 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unaudited condensed consolidated balance sheets, contract asset balances of approximately $3.0 million and approximately $2.4 million were recorded as accounts receivable from collaboration as of March 31, 2019 and December 31,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8"/>
              </w:rPr>
              <w:t>Additions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Deductions</w:t>
            </w:r>
          </w:p>
        </w:tc>
        <w:tc>
          <w:tcPr>
            <w:tcW w:w="6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End of Period</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40,660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39,801</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8"/>
              </w:rPr>
              <w:t>Additions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Deductions</w:t>
            </w:r>
          </w:p>
        </w:tc>
        <w:tc>
          <w:tcPr>
            <w:tcW w:w="6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End of Period</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45,551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3"/>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in thousands)</w:t>
            </w:r>
          </w:p>
        </w:tc>
        <w:tc>
          <w:tcPr>
            <w:tcW w:w="3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 recognized in the period from:</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6"/>
              </w:rPr>
              <w:t>Amounts included in deferred revenue at the beginning of the period</w:t>
            </w:r>
          </w:p>
        </w:tc>
        <w:tc>
          <w:tcPr>
            <w:tcW w:w="3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Performance obligations satisfied in previous period</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648"/>
        </w:trPr>
        <w:tc>
          <w:tcPr>
            <w:tcW w:w="5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255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Milestones and Research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approximately $0.8 million, with a portion related to the first performance milestone having been paid. The Company also is obligated to pay IURTC royalty payments based on net sales of the licensed technology. The Company is also obligated to pay diligence maintenance fees each year to the extent that the royalty, sublicensing, and milestone payments to IURTC are less than the diligence maintenance fee for that year. Amounts paid in the three months ended March 31, 2019 and 2018 were insignificant.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will be solely responsible for all research and development activities with respect to any product it develops under the license.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must pay Therabiome clinical and regulatory milestones for each product or therapy advanced from the platform for U.S. regulatory milestones. The Company also must pay Therabiome lesser amounts for foreign regulatory milestones, which vary by country and region. The Company also must pay Therabiome royalties on annual net sales of a product in the low to mid-single digit percentages plus, once annual net sales exceed certain thresholds, a one-time cash payment upon reaching the thresholds.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Therabiome must pay the Company royalties on annual net sales of any product Therabiome is permitted to develop using the intellectual property in the low double to mid-double-digit percentages, depending on the level of development or involvement the Company had in the product.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regulatory milestone was determined to have occurred and was paid under this agreement as of and during the three months ended March 31, 2019. No amounts were accrued for this agreement as of and for the three months ended March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leases office space for corporate and administrative functions in Carmel, Indiana under a lease agreement that expires in August 2023. The Company leases office and laboratory space in South San Francisco, California under a sub-sublease that expires in December 2023. Prior to moving into the South San Francisco office and laboratory space in February 2019, the Company leased office and laboratory space in San Francisco, California, under a sublease that expired on February 28, 2019. The Company also leases office and laboratory space in Groton, Connecticut under a lease that expires in March 2020. Our China subsidiary leases office space in Shanghai that expires in June 2019 and rents lab space in Shanghai that expires in December 2019. Additionally, our China subsidiary leases office space in Beijing that expires in December 2019. Certain lease contracts contain renewal clauses which the company assesses on a case by case basis. The Company also leases certain laboratory equipment accounted for as operating leases. These equipment leases began to expire in 2017, with the final lease expiring in 2021.</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2019, the Company had operating lease liabilities of $13.2 million and right-of-use assets of $13.1 million, which were included in the condensed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4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 in thousands)</w:t>
            </w:r>
          </w:p>
        </w:tc>
        <w:tc>
          <w:tcPr>
            <w:tcW w:w="6040" w:type="dxa"/>
            <w:vAlign w:val="bottom"/>
            <w:gridSpan w:val="4"/>
          </w:tcPr>
          <w:p>
            <w:pPr>
              <w:ind w:left="3100"/>
              <w:spacing w:after="0"/>
              <w:rPr>
                <w:sz w:val="20"/>
                <w:szCs w:val="20"/>
                <w:color w:val="auto"/>
              </w:rPr>
            </w:pPr>
            <w:r>
              <w:rPr>
                <w:rFonts w:ascii="Arial" w:cs="Arial" w:eastAsia="Arial" w:hAnsi="Arial"/>
                <w:sz w:val="18"/>
                <w:szCs w:val="18"/>
                <w:b w:val="1"/>
                <w:bCs w:val="1"/>
                <w:color w:val="auto"/>
                <w:w w:val="93"/>
              </w:rPr>
              <w:t>Three Months Ended March 31, 2019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cost</w:t>
            </w:r>
          </w:p>
        </w:tc>
        <w:tc>
          <w:tcPr>
            <w:tcW w:w="3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Operating lease cost</w:t>
            </w:r>
          </w:p>
        </w:tc>
        <w:tc>
          <w:tcPr>
            <w:tcW w:w="436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lease cost</w:t>
            </w:r>
          </w:p>
        </w:tc>
        <w:tc>
          <w:tcPr>
            <w:tcW w:w="3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Variable lease cost</w:t>
            </w:r>
          </w:p>
        </w:tc>
        <w:tc>
          <w:tcPr>
            <w:tcW w:w="3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3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00" w:type="dxa"/>
            <w:vAlign w:val="bottom"/>
            <w:vMerge w:val="restart"/>
          </w:tcPr>
          <w:p>
            <w:pPr>
              <w:jc w:val="right"/>
              <w:ind w:right="1430"/>
              <w:spacing w:after="0"/>
              <w:rPr>
                <w:sz w:val="20"/>
                <w:szCs w:val="20"/>
                <w:color w:val="auto"/>
              </w:rPr>
            </w:pPr>
            <w:r>
              <w:rPr>
                <w:rFonts w:ascii="Arial" w:cs="Arial" w:eastAsia="Arial" w:hAnsi="Arial"/>
                <w:sz w:val="18"/>
                <w:szCs w:val="18"/>
                <w:color w:val="auto"/>
              </w:rPr>
              <w:t>15</w:t>
            </w:r>
          </w:p>
        </w:tc>
        <w:tc>
          <w:tcPr>
            <w:tcW w:w="1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860" w:gutter="0" w:footer="0" w:header="0"/>
        </w:sectPr>
      </w:pPr>
    </w:p>
    <w:bookmarkStart w:id="20" w:name="page21"/>
    <w:bookmarkEnd w:id="20"/>
    <w:p>
      <w:pPr>
        <w:jc w:val="center"/>
        <w:ind w:right="-55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4"/>
        </w:trPr>
        <w:tc>
          <w:tcPr>
            <w:tcW w:w="8580" w:type="dxa"/>
            <w:vAlign w:val="bottom"/>
            <w:gridSpan w:val="2"/>
          </w:tcPr>
          <w:p>
            <w:pPr>
              <w:ind w:left="580"/>
              <w:spacing w:after="0"/>
              <w:rPr>
                <w:sz w:val="20"/>
                <w:szCs w:val="20"/>
                <w:color w:val="auto"/>
              </w:rPr>
            </w:pPr>
            <w:r>
              <w:rPr>
                <w:rFonts w:ascii="Arial" w:cs="Arial" w:eastAsia="Arial" w:hAnsi="Arial"/>
                <w:sz w:val="18"/>
                <w:szCs w:val="18"/>
                <w:b w:val="1"/>
                <w:bCs w:val="1"/>
                <w:i w:val="1"/>
                <w:iCs w:val="1"/>
                <w:color w:val="auto"/>
              </w:rPr>
              <w:t>($ in thousands)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3"/>
              </w:rPr>
              <w:t>March 31, 2019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Right-of-use assets exchanged for new operating lease liabilities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18"/>
        </w:trPr>
        <w:tc>
          <w:tcPr>
            <w:tcW w:w="8580" w:type="dxa"/>
            <w:vAlign w:val="bottom"/>
            <w:gridSpan w:val="2"/>
          </w:tcPr>
          <w:p>
            <w:pPr>
              <w:spacing w:after="0"/>
              <w:rPr>
                <w:sz w:val="20"/>
                <w:szCs w:val="20"/>
                <w:color w:val="auto"/>
              </w:rPr>
            </w:pPr>
            <w:r>
              <w:rPr>
                <w:rFonts w:ascii="Arial" w:cs="Arial" w:eastAsia="Arial" w:hAnsi="Arial"/>
                <w:sz w:val="18"/>
                <w:szCs w:val="18"/>
                <w:color w:val="auto"/>
                <w:w w:val="96"/>
              </w:rPr>
              <w:t>As of March 31, 2019, the maturities of the Company’s operating lease liabilities were as follows (in thousands):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2019 (from April to December)</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Total undiscounted future minimum lease payments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Less: present value adjustment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560" w:type="dxa"/>
            <w:vAlign w:val="bottom"/>
            <w:gridSpan w:val="3"/>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 for three months ended March 31, 2019 and 2018 were approximately $1.1 million and $0.4 million, respectively.</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904" w:right="7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The interim financial statements and this Management’s Discussion and Analysis of Financial Condition and Results of Operations should be read in conjunction with the financial statements and notes thereto for the year ended December 31, 2018 and the related Management’s Discussion and Analysis of Financial Condition and Results of Operations, both of which are contained in our Annual Report on Form 10-K for the fiscal year ended December 31, 2018 filed with the U.S. Securities and Exchange Commission on February 28, 2019 (2018 Annual Report). In addition to historical information, this discussion and analysis contains forward-looking statements within the meaning of Section 27A of the Securities Act of 1933, as amended and Section 21E of the Securities Exchange Act of 1934, as amended (the Exchange Act). These forward-looking statements are subject to risks and uncertainties, including those set forth under “Part I. Item 1A. Risk Factors” in our 2018 Annual Report, “Part II. Item 1A. Risk Factors” in this report, and elsewhere in this report, that could cause actual results to differ materially from historical results or anticipated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clinical-stage biotechnology company developing innovative therapeutics targeting chronic hepatitis B virus (HBV) infection and diseases associated with the microbiome.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HBV-cure Program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 250 million people worldwide are chronically infected with HBV. Our HBV-cure program is pursuing multiple drug candidates that inhibit the HBV lifecycle and block the generation of covalently closed circular DNA (cccDNA), with the aim of increasing the current low cure rate for patients with HBV. We have discovered multiple novel core inhibitors, which are small molecules that directly target and allosterically modulate the HBV core (HBc) protein.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ABI-H0731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lead product candidate from this program, ABI-H0731, has completed a Phase 1a/1b human clinical study in countries outside the United States. We have also completed an additional Phase 1a (ABI-H0731-102) pharmacokinetic (PK), safety and tolerability study of ABI-H0731 in healthy volunteers in the United States. In 2018, the U.S. Food and Drug Administration (FDA) granted Fast Track designation to ABI-H0731 for the treatment of patients with chronic HBV infection.</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Final data from our completed Phase 1a (ABI-H0731-102) PK, safety and tolerability study and Phase 1b (ABI-H0731-101b) study showed antiviral activity across all patient cohorts. In the 300 mg dose cohort, the mean maximal declines from baseline were reported as ≥2.8</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log</w:t>
      </w:r>
      <w:r>
        <w:rPr>
          <w:rFonts w:ascii="Arial" w:cs="Arial" w:eastAsia="Arial" w:hAnsi="Arial"/>
          <w:sz w:val="26"/>
          <w:szCs w:val="26"/>
          <w:color w:val="auto"/>
          <w:vertAlign w:val="subscript"/>
        </w:rPr>
        <w:t>10</w:t>
      </w:r>
      <w:r>
        <w:rPr>
          <w:rFonts w:ascii="Arial" w:cs="Arial" w:eastAsia="Arial" w:hAnsi="Arial"/>
          <w:sz w:val="16"/>
          <w:szCs w:val="16"/>
          <w:color w:val="auto"/>
        </w:rPr>
        <w:t xml:space="preserve"> IU/mL after 28 days, with ≥2.9</w:t>
      </w:r>
    </w:p>
    <w:p>
      <w:pPr>
        <w:spacing w:after="0" w:line="1" w:lineRule="exact"/>
        <w:rPr>
          <w:sz w:val="20"/>
          <w:szCs w:val="20"/>
          <w:color w:val="auto"/>
        </w:rPr>
      </w:pPr>
    </w:p>
    <w:p>
      <w:pPr>
        <w:jc w:val="both"/>
        <w:spacing w:after="0" w:line="202" w:lineRule="auto"/>
        <w:rPr>
          <w:sz w:val="20"/>
          <w:szCs w:val="20"/>
          <w:color w:val="auto"/>
        </w:rPr>
      </w:pPr>
      <w:r>
        <w:rPr>
          <w:rFonts w:ascii="Arial" w:cs="Arial" w:eastAsia="Arial" w:hAnsi="Arial"/>
          <w:sz w:val="18"/>
          <w:szCs w:val="18"/>
          <w:color w:val="auto"/>
        </w:rPr>
        <w:t>and 2.5</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log</w:t>
      </w:r>
      <w:r>
        <w:rPr>
          <w:rFonts w:ascii="Arial" w:cs="Arial" w:eastAsia="Arial" w:hAnsi="Arial"/>
          <w:sz w:val="30"/>
          <w:szCs w:val="30"/>
          <w:color w:val="auto"/>
          <w:vertAlign w:val="subscript"/>
        </w:rPr>
        <w:t>10</w:t>
      </w:r>
      <w:r>
        <w:rPr>
          <w:rFonts w:ascii="Arial" w:cs="Arial" w:eastAsia="Arial" w:hAnsi="Arial"/>
          <w:sz w:val="18"/>
          <w:szCs w:val="18"/>
          <w:color w:val="auto"/>
        </w:rPr>
        <w:t xml:space="preserve"> IU/mL mean declines in HBeAg positive and negative patients, respectively. Maximal viral load declines of 3.6 to 4.0 log</w:t>
      </w:r>
      <w:r>
        <w:rPr>
          <w:rFonts w:ascii="Arial" w:cs="Arial" w:eastAsia="Arial" w:hAnsi="Arial"/>
          <w:sz w:val="30"/>
          <w:szCs w:val="30"/>
          <w:color w:val="auto"/>
          <w:vertAlign w:val="subscript"/>
        </w:rPr>
        <w:t>10</w:t>
      </w:r>
      <w:r>
        <w:rPr>
          <w:rFonts w:ascii="Arial" w:cs="Arial" w:eastAsia="Arial" w:hAnsi="Arial"/>
          <w:sz w:val="18"/>
          <w:szCs w:val="18"/>
          <w:color w:val="auto"/>
        </w:rPr>
        <w:t xml:space="preserve"> IU/mL were observed in HBeAg negative patients treated at all dose levels (100 mg to 400 mg). Mean RNA reductions observed in the 300 mg dose cohort were 2.3 log</w:t>
      </w:r>
      <w:r>
        <w:rPr>
          <w:rFonts w:ascii="Arial" w:cs="Arial" w:eastAsia="Arial" w:hAnsi="Arial"/>
          <w:sz w:val="30"/>
          <w:szCs w:val="30"/>
          <w:color w:val="auto"/>
          <w:vertAlign w:val="subscript"/>
        </w:rPr>
        <w:t>10</w:t>
      </w:r>
      <w:r>
        <w:rPr>
          <w:rFonts w:ascii="Arial" w:cs="Arial" w:eastAsia="Arial" w:hAnsi="Arial"/>
          <w:sz w:val="18"/>
          <w:szCs w:val="18"/>
          <w:color w:val="auto"/>
        </w:rPr>
        <w:t xml:space="preserve"> IU/mL over 28 days. The observed reductions in viral RNA levels are a distinguishing feature of this class of inhibitors compared to standard of care Nuc therapy.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Across all cohorts in the Phase 1a and Phase 1b studies, ABI-H0731 was generally well-tolerated. No serious adverse effects or dose-limiting toxicities were identified, and there was no pattern of treatment emergent clinical or laboratory abnormalities observed. With the exception of an isolated Grade 3 rash at the 400 mg dose that resolved with no intervention required other than treatment discontinuation, there were no other Grade 3 or Grade 4 adverse events, and no other drug discontinuations have occurred in these studies.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2018, we commenced two Phase 2a combination studies for ABI-H0731 at sites in the United States, Canada, Hong Kong, New Zealand and the United Kingdom. The first Phase 2a trial, ABI-H0731-201 (Study 201), enrolled HBV patients whose viral load had already been suppressed on a standard of care Nuc therapy. Seventy-three patients were randomized 3:2 to receive either 300 mg of ABI-H0731 daily or placebo in addition to their continued Nuc therapy for six months. Study 201 compares the safety and tolerability of combination therapy with ABI-H0731, as well as evaluates declines in HBV S antigen (HBsAg), HBV E antigen (HBeAg) and HBV and RNA levels, to those seen in patients on Nuc monotherapy.</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second Phase 2a trial, ABI-H0731-202 (Study 202), enrolled 25 HBeAg positive HBV patients who are naïve to Nuc treatment and randomized 1:1 to receive either 300 mg of ABI-H0731 daily or placebo in combination with standard of care entecavir (0.5 mg) for six months. Study 202 assesses the relative antiviral potency of combination therapy compared with entecavir alone. Endpoints include the speed and depth of viral suppression, as well as changes in biomarkers (HBsAg and HBeAg) and HBV RNA levels, and the safety and tolerability of ABI-H0731.</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presented interim safety and efficacy data from Studies 201 and 202 during a late-breaker oral session at The International Liver Congress™ (ILC), the Annual Meeting of the European Association for the Study of the Liver (EASL) in April 2019. The late-breaker abstract was also selected for inclusion in the “Best of ILC” presentation. The initial safety data suggests that ABI-H0731 in combination with Nuc therapy was well tolerated. Adverse events (AEs) were mild, infrequent, and evaluated as generally unrelated to treatment. There were no treatment related discontinuations, no serious adverse events and no clinical AEs greater than Grade 2 observed. Lab abnormalities were mostly Grade 1, transient, and not thought to be related to drug. Final six-month data from both studies is expected in the fourth quarter of 2019. The initial efficacy data suggests that combination therapy exhibits rapid and enhanced antiviral benefit in suppressing HBV DNA and RNA levels, with the latter not observed with Nuc treatment alone. In treatment naïve patients enrolled in Study 202, accelerated and significant declines in HBV DNA were observed starting as early as Week 2 of treatment. Reduction in residual viral DNA levels that persist on extended Nuc therapy, were only observed with combination therapy. We believe that complete suppression of viral replication will likely be required to cure HBV and that the initial efficacy data supports the use of core inhibitors in HBV treatment regimens. If complete suppression of viral replication can be sustainably achieved, it is anticipated that this may lead to higher rates of “cure” defined as a sustained antiviral suppression of treatment (potentially with loss or diminution of viral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Excludes one subject found to have resistance at baseline.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316" w:gutter="0" w:footer="0" w:header="0"/>
        </w:sectPr>
      </w:pPr>
    </w:p>
    <w:bookmarkStart w:id="22" w:name="page23"/>
    <w:bookmarkEnd w:id="22"/>
    <w:p>
      <w:pPr>
        <w:jc w:val="both"/>
        <w:spacing w:after="0" w:line="276" w:lineRule="auto"/>
        <w:rPr>
          <w:sz w:val="20"/>
          <w:szCs w:val="20"/>
          <w:color w:val="auto"/>
        </w:rPr>
      </w:pPr>
      <w:r>
        <w:rPr>
          <w:rFonts w:ascii="Arial" w:cs="Arial" w:eastAsia="Arial" w:hAnsi="Arial"/>
          <w:sz w:val="17"/>
          <w:szCs w:val="17"/>
          <w:color w:val="auto"/>
        </w:rPr>
        <w:t>All subjects who complete treatment in Studies 201 or 202 have the option to roll over into a long-term open label study of ABI-H0731 (Study 211) and receive the combination of ABI-H0731 with ongoing standard of care Nuc therapy. Subjects on the 211 Study will be treated for up to an additional year from the time of completion of their participation in Studies 201 or 202, as applicable. Subjects in Study 211 who achieve a complete response, defined as HBsAg &lt;100 IU, loss of HBeAg and viral load below limits of detection, will have the opportunity to stop all treatment (ABI-H0731 and standard of care Nuc therapy) and be monitored for six months off therapy to assess whether combination therapy improves the rate of sustained viral responses.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ABI-H2158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ABI-H2158, our second product candidate in the HBV-cure program, is an internally discovered and developed drug product candidate that is chemically distinct from ABI-H0731. In November 2018, we initiated a Phase 1a/1b dose-ranging clinical study of ABI-H2158 in New Zealand, to assess the safety, tolerability and PK of ABI-H2158 in healthy volunteers and then subsequently assess the safety, tolerability, PK and initial antiviral potency in non-cirrhotic patients with chronic HBV infection.</w:t>
      </w:r>
    </w:p>
    <w:p>
      <w:pPr>
        <w:spacing w:after="0" w:line="187"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We presented final data from the Phase 1a portion of the Phase 1a/1b dose-ranging clinical study at EASL in April 2019. The Phase 1a study assessed safety, tolerability and PK in 48 healthy volunteers. ABI-H2158 was well tolerated following single and multiple ascending doses. There were no dose dependent treatment-emergent adverse events, and no pattern of clinical safety or laboratory abnormalities observed within or across any cohorts. Once daily administration is projected to result in trough liver concentrations in excess of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EC</w:t>
      </w:r>
      <w:r>
        <w:rPr>
          <w:rFonts w:ascii="Arial" w:cs="Arial" w:eastAsia="Arial" w:hAnsi="Arial"/>
          <w:sz w:val="30"/>
          <w:szCs w:val="30"/>
          <w:color w:val="auto"/>
          <w:vertAlign w:val="subscript"/>
        </w:rPr>
        <w:t>50</w:t>
      </w:r>
      <w:r>
        <w:rPr>
          <w:rFonts w:ascii="Arial" w:cs="Arial" w:eastAsia="Arial" w:hAnsi="Arial"/>
          <w:sz w:val="18"/>
          <w:szCs w:val="18"/>
          <w:color w:val="auto"/>
        </w:rPr>
        <w:t xml:space="preserve"> of 334 nM at which cccDNA establishment is inhibited. We initiated the Phase 1b dose-ranging portion of this study in April 2019 to assess the safety, PK and antiviral activity of ABI-H2158 in patients with chronic HBV infection. Data from this study is expected by the first quarter of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ABI-H3733</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ABI-H3733 is our third clinical product candidate for the treatment of HBV and is currently undergoing IND-enabling studies. ABI-H3733 exhibits a novel chemical scaffold separate from ABI-H0731 and ABI-H2158. We presented a preclinical profile of this candidate at EASL in April 2019. In preclinical studies, ABI-H3733 demonstrated potent inhibitory activity against multiple steps in the HBV infection cycle, particularly those relating to cccDNA generation. ABI-H3733 possesses promising physical properties, low drug-drug interaction potential and a favorable PK profile in multiple species. Mechanism of action studies suggest enhanced potency in blocking encapsidation of pgRNA and disruption of pre-formed capsids, leading to premature disassembly during trafficking of rcDNA containing capsids to the nucleus during infection. ABI-H3733 inhibited cccDNA formation with an EC</w:t>
      </w:r>
      <w:r>
        <w:rPr>
          <w:rFonts w:ascii="Arial" w:cs="Arial" w:eastAsia="Arial" w:hAnsi="Arial"/>
          <w:sz w:val="30"/>
          <w:szCs w:val="30"/>
          <w:color w:val="auto"/>
          <w:vertAlign w:val="subscript"/>
        </w:rPr>
        <w:t>50</w:t>
      </w:r>
      <w:r>
        <w:rPr>
          <w:rFonts w:ascii="Arial" w:cs="Arial" w:eastAsia="Arial" w:hAnsi="Arial"/>
          <w:sz w:val="18"/>
          <w:szCs w:val="18"/>
          <w:color w:val="auto"/>
        </w:rPr>
        <w:t xml:space="preserve"> of 125 nM. ABI-H3733’s enhanced potency and favorable preclinical profile support advancement into Phase 1a studies, which we expect to initiate in the first quarter of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plan to conduct additional research and development to identify additional product candidates for our HBV-cure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Program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Microbiome program consists of a fully integrated platform that includes a disease-targeted strain isolation, identification, characterization and selection process, methods for strain purification and growth under current Good Manufacturing Practice (cGMP) conditions, and a licensed patented delivery system that we call GEMICEL®, which is designed to allow for targeted oral delivery of live biologic and conventional therapies to the lower gastrointestinal (GI) tract. In connection with our Microbiome program, we filed an Investigational New Drug (IND) application in December 2018 for ABI-M201 (Ulcerative Colitis). In February 2019, we initiated a Phase 1b human clinical study for ABI-M201 in patients with mildly to moderately active ulcerative colitis to evaluate safety, efficacy and exploratory endpoints. Using our microbiome platform capabilities, we are exploring additional product candidates for other disease indications, including Crohn’s disease, irritable bowel syndrome, non-alcoholic steatohepatitis (NASH) and immuno-oncology, which indications we will pursue with Allergan Pharmaceuticals International Limited (Allergan) to the extent covered by the Collaboration Agreement discussed below or pursue either internally or in collaboration with other partners to the extent outside the scope of the Collaboration Agreement.</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6, 2017, we entered into the Research, Development, Collaboration and License Agreement (the Collaboration Agreement) with Allergan to develop and commercialize select microbiome gastrointestinal programs. Pursuant to the terms of the Collaboration Agreement, in connection with the closing of the transaction in February 2017, Allergan paid us an upfront payment of $50.0 million. Additionally, we are eligible to receive up to approximately $631.0 million in payments related to seven development milestones and up to approximately $2.14 billion in payments related to 12 commercial development and sales milestones in connection with the successful development and commercialization of licensed compounds for up to six different indications. We have agreed with Allergan to share development costs up to an aggregate of $75.0 million through proof-of-concept (POC) studies on a ⅔, ⅓ basis, respectively, and Allergan has agreed to assume all post-POC development costs. Additionally, we have an option to co-promote the licensed programs in the United States and China, subject to certain conditions set forth in the Collaboration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have corporate and administrative offices in Carmel, Indiana, administrative offices and research laboratory space in South San Francisco, California and research, development and small-scale manufacturing activities in Groton, Connecticut. We also currently have an administrative office and research laboratory space in Shanghai, China and a regulatory office in Beijing, China.</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our inception, we have had no revenue from product sales and have funded our operations principally through debt financings prior to our initial public offering in 2010 and through equity financings and collaborations. Our operations to date have been primarily limited to organizing and staffing our company, licensing our product candidates, discovering and developing our product candidates, establishing initial manufacturing capabilities for certain of our product candidates, maintaining and improving our patent portfolio and raising capital. We have generated significant losses to date, and we expect to continue to generate losses as we continue to develop our product candidates. As of March 31, 2019, we had an accumulated deficit of approximately $367.3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the accounting principles generally accepted in the United States (U.S. GAAP). The preparation of these financial statements requires us to make estimates and assumptions that affect the reported amounts of assets, liabilities, revenues, and expenses.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significant estimates are detailed in our 2018 Annual Report. Our critical accounting policies and significant estimates have not changed from those previously disclosed in our 2018 Annual Report, except for those accounting subjects discussed in the section of Note 2 to the unaudited condensed consolidated financial statements titled Adoption of Recent Accounting Pronouncements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2019 and 2018, collaboration revenue was approximately $3.9 million and $3.6 million, respectively, which included the amortization of deferred revenue and reimbursement revenue in each case incurred under the Collaboration Agreement. This decrease is the result of decreased activities under the Collaboration Agreement and related reimbursements received from Allergan.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excluding stock-based compensation expense, was approximately $20.0 million for the three months ended March 31, 2019, an increase of approximately $8.0 million from approximately $12.0 million for the same period in 2018. The increase was primarily due to an increase of approximately $1.6 million in research expenses for our Microbiome program and an increase of approximately $6.4 million in research expenses for our HBV-cure program.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was approximately $2.7 million for the three months ended March 31, 2019, an increase of approximately $0.2 million from approximately $2.5 million for the same period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and accounting services, insurance and travel expenses, as well as the stock-based compensation expense associated with equity awards to our employees, consultants, and directors.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General and administrative expense, excluding stock-based compensation expense, was approximately $5.7 million for the three months ended March 31, 2019, an increase of approximately $1.6 million from approximately $4.1 million for the same period in 2018. The increase was primarily due to an increase of approximately $0.8 million of professional fees, $0.4 million of employee related expenses, and $0.4 of rent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was approximately $3.8 million for the three months ended March 31, 2019, an increase of approximately $2.2 million from approximately $1.6 million for the same period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March 31, 2019 principally through equity financing, raising an aggregate of approximately $412.8 million in net proceeds, and a strategic collaboration raising an aggregate of $50 million through an upfront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approximately $23.9 million for the three months ended March 31, 2019. This was primarily due to a $27.1 million net loss, $0.6 million of accretion of discount of marketable securities and a decrease of $3.9 million of operating assets and liabilities and offset by a $6.6 million non-cash expense recorded for the stock-based compensation, $0.8 million of amortization of operating lease right-of-use assets and $0.1 million of depreciation and amortization expense.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was approximately $15.5 million for the three months ended March 31, 2018. This was primarily due to a $16.2 million net loss and a decrease of $3.5 million of operating assets and liabilities and offset by a $4.1 million non-cash expense recorded for the stock-based compensation and $0.2 million of depreciation and amortization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from continuing operations for the three months ended March 31, 2019 was $11.4 million due to the purchase of approximately $49.0 million of marketable securities and $1.5 million of fixed assets, which were offset by a $61.5 million redemption of marketable securities and $0.5 million of sale of marketable securities.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investing activities from continuing operations for the three months ended March 31, 2018 was $1.1 million due to the purchase of approximately $13.0 million of marketable securities and $40,000 of fixed assets and offset by a $12.0 million redemption of marketable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from continuing operations for the three months ended March 31, 2019 was $0.1 million resulting from the exercise of stock options to purchase 21,000 shares of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from continuing operations for the three months ended March 31, 2018 was $1.5 million resulting from the exercise of stock options to purchase 248,762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development and clinical studies of our product candidates and pursue our intellectual property strategy.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most recently in July 2018. We expect to continue to raise capital when and as needed and at the time and in the manner most advantageous to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twelve months. Our future capital requirements will depend on many factors, including:</w:t>
      </w:r>
    </w:p>
    <w:p>
      <w:pPr>
        <w:spacing w:after="0" w:line="170"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scope, progress, timing, results and costs of our ongoing drug discovery, nonclinical development, laboratory testing and clinical studies of our product candidates and any additional clinical studies we may conduct in the future;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financings to achieve our business objectives. Adequate additional financings may not be available to us on acceptable terms, or at all.</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commitments under contractual obligations as disclosed in our 2018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2018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who serves as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Chief Executive Officer concluded that our disclosure controls and procedures as of the end of the period covered by this report were effective at the reasonable assurance level.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March 31, 2019 that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legal proceedings. In the future, we might from time to time become involved in litigation relating to claims arising from our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You should carefully consider the following risk factors, together with all other information in this report, including our financial statements and notes thereto, and in our other filings with the Securities and Exchange Commission.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approved products and currently are dependent on the future success of our HBV-cure and Microbiome programs.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date, we have no approved products on the market and have generated no product revenues. Our prospects are substantially dependent on our ability to develop and commercialize our HBV and microbiome product candidates. Unless and until we receive approval from the FDA or other regulatory authorities for our product candidates, we cannot sell our product candidates and will not have product revenues. We will have to fund all of our operations and capital expenditures from cash on hand, any future securities offerings or debt financings and any fees we may generate from out-licensing, collaborations or other strategic arrangements. If we are unable to develop and commercialize any product candidates from our HBV-cure and Microbiome programs, we will be unable to generate revenues from the sale of products or build a sustainable or profitable business.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all of our product candidates are currently in early clinical development or in varying stages of nonclinical development and their risk of failure is high. The data supporting our drug discovery and nonclinical and clinical development programs are derived from either laboratory, nonclinical studies, Phase 1a/1b and initial Phase 2a clinical data. We cannot predict when or if any one of our product candidates will prove safe and effective in humans or will receive regulatory approval. The scientific evidence to support the feasibility of our product candidates and therapeutic approaches is limited, and many companies, some with more resources than we have, are and may be developing competitive product candidates. For these and other reasons, our drug discovery and development may not be successful, and we may not generate viable products or revenue.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entirely on the success of product candidates from our HBV-cure program and our Microbiome program. We cannot be certain that we or our collaborators will be able to obtain regulatory approval for, or successfully commercialize, product candidates from either of our current programs or any other product candidates we may subsequently identify.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or other countries before we receive regulatory approval from the FDA or comparable foreign regulatory authorities, and we may never receive such regulatory approval for our current product candidates. We have not submitted a biologics license application (BLA) or new drug application (NDA) to the FDA or comparable applications to other regulatory authorities and do not expect to be in a position to do so in the foreseeable future.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of our product candidates are currently in early clinical development or in varying stages of nonclinical development. It may be years before the larger, pivotal trials necessary to support regulatory approval of our product candidates are initiated, if ever. The clinical studies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dosages that will be tolerated, safe and effective;</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reaching agreement with the FDA or comparable foreign regulatory authorities regarding the scope, design and data necessary to support regulatory approval for the product candidate;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demonstrating through clinical studies that the product candidate is safe and effective in patients for the intended indication;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determining the appropriate delivery mechanism;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demonstrating that the product candidate formulation will be stable for commercially reasonable time periods;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completing the development and scale-up to permit manufacture of our product candidates in quantities sufficient to execute on our clinical development plans and, eventually, in commercial quantities and at acceptable prices.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time necessary to achieve these developmental milestones for any individual product candidate is long and uncertain, and we may not successfully complete these milestones for our HBV and microbiome therapies or any other product candidates that we may develop. We have not yet completed and may never complete the development of any products. If we are unable to complete clinical development of our HBV or microbiome therapies, or any other product candidates that we may identify, we will be unable to generate revenue from the sale of products or build a sustainable or profitable business.</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Nonclinical studies may not be representative of disease behavior in clinical studies. The outcomes of nonclinical testing and clinical studies are uncertain, and results of earlier nonclinical studies and clinical studies may not be predictive of future clinical study results.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nonclinical studies may not be representative of disease behavior in a clinical setting and thus may not be predictive of the outcomes of our clinical studies. In addition, the results of nonclinical studies and early clinical studies of product candidates may not be predictive of the results of later-stage clinical studies, and the results of any study or trial for any of our product candidates may not be as positive as the results for any prior studies or trials, if at all.</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Nonclinical studies and clinical testing are expensive, can take many years to complete and their outcomes are highly uncertain. Failure can occur at any time during the nonclinical study and clinical study processes due to inadequate performance of a drug candidate or inadequate adherence by patients or investigators to clinical study protocols. Further, clinical studies might not provide statistically significant data supporting a product candidate’s safety and effectiveness to obtain the requisite regulatory approvals. In addition, there is a high failure rate for drugs and biologics proceeding through clinical studies. Our failure to replicate earlier positive results in later-stage clinical studies or otherwise demonstrate the required characteristics to support marketing approval for any of our product candidates would substantially harm our business, prospects,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initial data may not accurately reflect the complete results of a particular study or trial.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publicly disclose top-line or initial data from time to time, which is based on a preliminary analysis of then-available efficacy, tolerability, PK and safety data, and the results and related findings and conclusions are subject to change following a more comprehensive review of the data related to the particular study or trial. We also make assumptions, estimates, calculations and conclusions as part of our analyses of data, and we may not have received or had the opportunity to evaluate fully and carefully all data. As a result, the top-line or initial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initial or preliminary data we previously published. As a result, top-line and initial data should be viewed with caution until the final data are available.</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biotherapeutic and our company in general. In addition, the information we may publicly disclose regarding a particular nonclinical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or initial data that we report differ from actual results, or if others, including regulatory authorities, disagree with the conclusions reached, our ability to obtain approval for, and commercialize, our product candidates may be harmed or delayed, which could harm our business, financial condition, operating results or prospects.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Nonclinical and clinical testing required for our product candidates is expensive and time-consuming and may result in delays or may fail to demonstrate safety and efficacy for desired indications. Such delays or failures could delay or prevent our receipt of licensing, sales and/or milestone revenue.</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through nonclinical studies and human testing in clinical studies that each potential product is safe and effective in humans. To meet these requirements, we must conduct extensive nonclinical testing and sufficient adequate and well-controlled clinical studies. Conducting clinical studies is a lengthy, time consuming, and expensive process. The length of time might vary substantially according to the type, complexity, novelty, and intended use of the product candidate, and often can be several years or more per trial. Delays associated with product candidates for which we are directly conducting nonclinical studies or clinical studies might cause us to incur additional operating expenses. The commencement and rate of completion of clinical studies might be delayed by many factors, including, for example:</w:t>
      </w:r>
    </w:p>
    <w:p>
      <w:pPr>
        <w:spacing w:after="0" w:line="18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trial design;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study sites;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demonstrate efficacy during clinical studies;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of unforeseen safety issues;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qualified materials under cGMP for use in clinical studies;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product side effects, disease progression or other reasons;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study materials;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regulatory requirements for clinical studies;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government, institutional review board, ethics committee, or other regulatory delays or clinical holds requiring suspension or termination of the trials.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used and intend to continue to rely on one or more CROs to conduct our nonclinical studies and clinical studies. We are highly dependent on these CROs to conduct our studies and trials in accordance with the requirements of the FDA, applicable local laws and good clinical and scientific practice. In the event the CROs fail to perform their duties in such a fashion, we may not be able to complete our clinical studies and may fail to obtain regulatory approval for any of our product candidates.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of nonclinical studies and clinical studies to demonstrate safety and effectiveness of a product candidate for the desired indications could harm the development of that product candidate or other product candidates. This failure could cause us to abandon a product candidate and could delay development of other product candidates. Any delay in, or termination of, our nonclinical studies or clinical studies would delay the filing of our NDAs or BLAs with the FDA and, ultimately, our ability to commercialize our product candidates and generate product revenues. Any change in, or termination of, our clinical studies could materially harm our business, financial condition, and results of operation.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8"/>
          <w:szCs w:val="18"/>
          <w:b w:val="1"/>
          <w:bCs w:val="1"/>
          <w:i w:val="1"/>
          <w:iCs w:val="1"/>
          <w:color w:val="auto"/>
        </w:rPr>
        <w:t>Any product candidates that we may discover and develop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product candidates that initially showed promise in early stage testing have later been found to cause side effects that prevented their further development. Undesirable side effects caused by any product candidates that we may discover or develop, or safety, tolerability or toxicity issues that may occur in our nonclinical studies, clinical studies or in the future, could cause us or regulatory authorities to interrupt, restrict, delay, or halt clinical studies. Such results could also cause us to, or regulatory authorities to require us to, cease further development of our product candidates for any or all targeted indications. The drug-related side effects could affect patient recruitment or the ability of enrolled patients to complete the trial or result in potential product liability claims and could result in a more restrictive label or the delay or denial of regulatory approval by the FDA or other comparable foreign authorities. Any of these events could prevent us from achieving or maintaining market acceptance of the particular product candidate, if approved, and could significantly harm our business, prospects, financial condition and results of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them off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specific warnings, a contraindication or field alerts to physicians and pharmacies;</w:t>
      </w:r>
    </w:p>
    <w:p>
      <w:pPr>
        <w:spacing w:after="0" w:line="248"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Mitigation Strategies (REMS) plan to ensure that the benefits of the product outweigh its risks;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conduct additional clinical studies or change the labeling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 history of operating losses and expect to incur significant additional operating losses.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merged with Assembly Pharmaceuticals, Inc. (Assembly Pharmaceuticals), a private company, in July 2014. We have only a limited operating history since the merger. Therefore, there is limited historical financial information upon which to base an evaluation of our performance. Our prospects must be considered in light of the uncertainties, risks, expenses, and difficulties frequently encountered by companies in their early stages of operations. We, and Assembly Pharmaceuticals prior to our merger, have generated losses since we began operations and as of March 31, 2019 and December 31, 2018, the combined company had an accumulated deficit of approximately $367.3 million and $341.8 million, respectively, and net losses of approximately $90.8 million, $42.8 million, and $44.3 million for the years ended December 31, 2018, 2017 and 2016, respectively. These net losses have had, and will continue to have, an adverse effect on our stockholders’ equity and working capital. We expect to incur substantial additional losses over the next several years as we continue to pursue our research, development, nonclinical studies and clinical study activities. Further, since our initial public offering, we have incurred and will continue to incur as a public company significant additional legal, accounting and other expenses to which we were not subject to as a private company, including expenses related to our efforts in complying with the requirements of the Sarbanes-Oxley Act of 2002 (the Sarbanes-Oxley Act), the Dodd-Frank Wall Street Reform and Consumer Protection Act of 2010 and other public company disclosure and corporate governance requirements and responding to requests of government regulators. The amount of future losses and when, if ever, we will achieve profitability are uncertain and will depend, in part, on the rate of increase in our expenses, our ability to generate revenues from the sale of products and our ability to raise additional capital. We have no products that have generated any commercial revenue, do not expect to generate revenues from the commercial sale of products unless and until our HBV or microbiome therapies or any other product candidate is approved by the FDA for sale, and we might never generate revenues from the sale of products.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are not currently profitable and might never become profitable.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history of losses and expect to incur significant operating and capital expenditures and resultant substantial losses and negative operating cash flow for the next several years and beyond if we do not successfully launch and commercialize any product candidates from our HBV or Microbiome programs. We might never achieve or maintain profitability. We anticipate that our expenses will continue to be substantial in the foreseeable future as we:</w:t>
      </w:r>
    </w:p>
    <w:p>
      <w:pPr>
        <w:spacing w:after="0" w:line="147"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ABI-H0731, our first HBV-cure candidate, through clinical development and conduct nonclinical studies and clinical studies with ABI-H2158 and ABI-H3733, our second and third HBV-cure product candidates, respectively;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ABI-M201 (Ulcerative Colitis), our first candidate from our Microbiome program, through clinical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continue to undertake research and development to identify potential additional product candidates in both our HBV-cure and Microbiome programs;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our intellectual property strategy.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studies or the development of any of our product candidates.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Our ability to generate revenue from the sale of products and achieve profitability will depend on, among other things:</w:t>
      </w:r>
    </w:p>
    <w:p>
      <w:pPr>
        <w:spacing w:after="0" w:line="17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completion of research, nonclinical studies and clinical studies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necessary regulatory approvals from the FDA and comparable foreign regulatory authorities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patent protection for our products, methods, processes and technologies and/or obtaining regulatory exclusivity;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manufacturing, sales, and marketing arrangements internally and/or with third parties for any approved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raising sufficient funds to finance our activities, if and when needed.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might not succeed at any of these undertakings. If we are unsuccessful at some or all of these undertakings, our business, prospects, and results of operations might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early stage company and might not be able to commercialize any product candidates.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an early stage company and have not demonstrated our ability to perform the functions necessary for the successful commercialization of any product candidates. The successful commercialization of any product candidates will require us to perform a variety of functions, including:</w:t>
      </w:r>
    </w:p>
    <w:p>
      <w:pPr>
        <w:spacing w:after="0" w:line="14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continuing to undertake research and development and nonclinical studies and clinical studies;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conducting sales, marketing and distribution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do not have the infrastructure to manufacture, market and sell our product candidates. If we partner with one or more third-party entities, those commercial partners may demand and receive rights to control product development and commercialization. As a result, these commercial partners may conduct these programs and activities more slowly or in a different manner than expected. If any of these events were to occur, the development of any product candidate could be significantly delayed, more expensive or less lucrative to us than anticipated, any of which would have a significant adverse effect on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line="308" w:lineRule="auto"/>
        <w:rPr>
          <w:sz w:val="20"/>
          <w:szCs w:val="20"/>
          <w:color w:val="auto"/>
        </w:rPr>
      </w:pPr>
      <w:r>
        <w:rPr>
          <w:rFonts w:ascii="Arial" w:cs="Arial" w:eastAsia="Arial" w:hAnsi="Arial"/>
          <w:sz w:val="17"/>
          <w:szCs w:val="17"/>
          <w:color w:val="auto"/>
        </w:rPr>
        <w:t>Our failure to commercialize successfully our product candidates would negatively impact the value of our company and could impair our ability to raise capital, expand our business, diversify our research and development pipeline, market our product candidates, if approved, or continue 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of product candidates is subject to risks and delays.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development of our product candidates is subject to the risks of failure and delay inherent in the development of new pharmaceutical products and products based on new technologies, including:</w:t>
      </w:r>
    </w:p>
    <w:p>
      <w:pPr>
        <w:spacing w:after="0" w:line="17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product development, nonclinical and clinical testing;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unplanned expenditures in product development, nonclinical and clinical testing;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a product candidate to demonstrate acceptable safety and efficacy;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receive regulatory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emergence of superior or equivalent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inability to manufacture and sell on our own, or through others, product candidates on a commercial scale or at a financially viable cost; and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achieve market acceptance.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these risks, our research and development efforts might not result in any commercially viable products. If we do not successfully complete a significant portion of these development efforts, obtain required regulatory approvals, and have commercial success with any approved products, our business, financial condition and results of operations will be materially harmed.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biologics, and, as a result, we may not be able to develop successfully products for commercial use.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Scientific research and development require significant amounts of capital and takes a long time to reach commercial viability, if it can be achieved at all. To date, our research and development projects have not produced commercially viable drugs or biologics and may never do so. During the research and development process, we may experience technological barriers that we may be unable to overcome. Further, certain underlying premises in our development programs are not fully proven.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HBV therapy research and development efforts involve therapeutics based on modulating forms of HBV core proteins with core inhibitors. The development of our core inhibitor technology is in early stages, and the commercial feasibility and acceptance of our core inhibitor technology is unknown. More specifically, the theory that treatment with core inhibitors may result in more rapid loss of covalently closed circular DNA (cccDNA) compared to conventional (standard of care) therapies is unproven. It is also unknown if the biomarkers assumed to be indicators of active cccDNA (serum viral antigen levels in HBV patients) will be meaningfully altered in patients on treatment with core inhibitors. Additionally, even if core inhibitor technology is successful at targeting the HBV core protein and treatment is successful at reducing cccDNA levels in HBV patients, it may not result in a commercially viable drug if there is not a corresponding medical benefit related to the underlying HBV infection.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Similarly, our Microbiome program is based on a novel therapeutic approach designed to treat disorders associated with the microbiome. To our knowledge, no companies have received regulatory approval for, or manufactured on a commercial scale, any microbiome-based therapeutics. Our microbiome therapy candidates are in nonclinical and early clinical development, and our GEMICEL® dual-targeted release capsule formulation is novel and has not yet shown to deliver successfully live bacteria in patients. The ability to deliver bacteria effectively and reliably to the GI tract is unproven, and, even if it can be proven, it may be difficult or impossible to provide the treatment economically. Because of these uncertainties, it is possible that no commercial products will be successfully developed. If we are unable to develop successfully commercial products, we will be unable to generate revenue from the sale of products or build a sustainable or profitable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FDA fast track designation.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 particular product candidate is eligible for this designation, we cannot assure you that the FDA would decide to grant it. In 2018, the FDA granted Fast Track designation to ABI-H0731 for the treatment of patients with chronic HBV infection. Even though we received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seek a breakthrough therapy designation for our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For drugs that have been designated as breakthrough therapies, interaction and communication between the FDA and the sponsor can help to identify the most efficient path for clinical development. Drugs designated as breakthrough therapies by the FDA may also be eligible for accelerated approval.</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conventional FDA procedures and does not assure ultimate approval by the FDA. In addition, even if one or more of our product candidates qualify as breakthrough therapies, the FDA may later decide that the products no longer meet the conditions for qualification and rescind the designation.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will need additional financing to complete the development of any product candidate and fund our activities in the future.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anticipate that we will incur operating losses for the next several years as we continue to develop our HBV product candidates and our microbiome platform as well as initiate development of any other product candidates and will require substantial funds during that time to support our operations. We expect that our current resources will provide us with sufficient capital to fund our operations for at least the next twelve months. However, we might consume our available capital before that time if, for example, we are not efficient in managing our resources or if we encounter unforeseen costs, delays or other issues or if regulatory requirements change or if clinical study timelines are accelerated. If that happens, we may need additional financing to continue the development of our HBV and Microbiome product candidates, which we might seek and receive from the public financial markets, third-party commercial partners, private placements, debt financings and/or other sources. There is no assurance that we will be able to generate sufficient revenue from our Collaboration Agreement with Allergan or that we will be successful in raising any necessary additional capital on terms that are acceptable to us, or at all. If such events or other unforeseen circumstances occurred and we were unable to generate sufficient revenue or raise capital, we could be forced to delay, scale back or discontinue product development, sacrifice attractive business opportunities, cease operations entirely and sell or otherwise transfer all or substantially all of our remaining assets.</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drugs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another prolonged government shutdown occurs, it could significantly impact the ability of the FDA to timely review and process our regulatory submissions or our ability to raise capital through the public financial markets, either of which could have a material adverse effect on our business.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our Collaboration Agreement with Allergan, which may be terminated or may not be successful due to a number of factors, which could have a material adverse effect on our business and operating results.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2017, we entered into the Collaboration Agreement for the development and commercialization of select microbiome gastrointestinal programs in ulcerative colitis, Crohn’s disease and irritable bowel syndromes. Our collaboration with Allergan may be terminated, or may not be successful, due to a number of factors. In particular, Allergan may terminate the Collaboration Agreement for convenience at any time upon either 90 days’ (prior to the initiation of the first proof of concept (POC) trial of a licensed product) or 120 days’ (after the initiation of the first POC trial of a licensed product), as applicable, advance written notice to us. The Collaboration Agreement also contains customary provisions for termination by either party, including in the event of breach of the Collaboration Agreement, subject to cure. In addition, if we are unable to identify product candidates for the licensed indications or we are unable to protect our products by obtaining and defending patents, the collaboration could fail. If the collaboration is unsuccessful for these or other reasons, or is otherwise terminated for any reason, we may not receive all or any of the research program funding, milestone payments or royalties under the agreement. Any of the foregoing could result in a material adverse effect on our business, results of operations and prospects and would likely cause our stock price to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license relationship for each of our HBV-cure program and our Microbiome program.</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license agreement with Indiana University Research and Technology Corporation (IURTC) from whom we have licensed ABI-H0731 and certain other HBV therapies, requires us to make milestone payments based upon the successful accomplishment of clinical and regulatory milestones related to ABI-H0731 and certain other HBV therapies. The aggregate amount of all performance milestone payments under the IURTC License Agreement, should all performance milestones through development be met, is $825,000, with a portion related to the first performance milestone having been paid. We also are obligated to pay IURTC royalty payments based on net sales of the licensed technology. We are also obligated to pay diligence maintenance fees ($75,000 to $100,000) each year to the extent that the royalty, sublicensing, and milestone payments to IURTC are less than the diligence maintenance fee for that year. Our license with Therabiome, LLC (Therabiome), from whom we have licensed our delivery platform of our Microbiome program, also requires us to pay regulatory and clinical milestones as well as royalty payments to Therabiome. If we breach any of these obligations, we could lose our rights to the targeted delivery mechanism of our Microbiome program. If we fail to comply with similar obligations to any other licensor, then that licensor would have the right to terminate the license, in which event we would not be able to commercialize drug candidates or technologies that were covered by the license. In addition, the milestone and other payments associated with licenses will make it less profitable for us to develop our drug candidates than if we owned the technology ourselves.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Corporate and academic collaborators might take actions to delay, prevent, or undermine the success of our product candidates.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In addition, should a collaboration be terminated, replacement collaborators might not be available on attractive terms, or at all. 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not 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data provided by our collaborators and others that has not been independently verified and could prove to be false, misleading, or incomplete.</w:t>
      </w: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without limitation,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lack suitable facilities for certain nonclinical and clinical testing and expect to rely on third parties to conduct some of our research and nonclinical testing and our clinical studies, and those third parties may not perform satisfactorily, including failing to meet deadlines for the completion of such research, testing or trials.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have sufficient facilities to conduct all of our anticipated nonclinical and clinical testing. As a result, we expect to contract with third parties to conduct a significant portion of our nonclinical and clinical testing required for regulatory approval for our product candidates. We will be reliant on the services of third parties to conduct studies on our behalf. If we are unable to retain or continue with third parties for these purposes on acceptable terms, we may be unable to develop successfully our product candidates. In addition, any failures by third parties to perform adequately their responsibilities may delay the submission of our product candidates for regulatory approval, which would impair our financial condition and business prospects.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reliance on these third parties for research and development activities also reduces our control over these activities but will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and our reliance on third parties does not relieve us of our regulatory responsibilities. Furthermore, these third parties may also have relationships with other entities, some of which may be our competitors. In addition, these third parties are not our employees, and except for remedies available to us under our agreements with such third parties, we cannot control whether or not they devote sufficient time and resources to our clinical and nonclinical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studies may be extended, delayed or terminated and we may not be able to obtain, or may be delayed in obtaining, regulatory approvals for our product candidates. As a result, our results of operations and business prospects would be harmed, our costs could increase and our ability to generate revenues from the sale of products could be delayed.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b w:val="1"/>
          <w:bCs w:val="1"/>
          <w:i w:val="1"/>
          <w:iCs w:val="1"/>
          <w:color w:val="auto"/>
        </w:rPr>
        <w:t>We will need to either establish our own clinical and commercial manufacturing capabilities or rely on third parties to formulate and manufacture our product candidates, and we rely on third parties to manufacture products that we study in combination with our product candidates. Our use of third parties to manufacture these materials may increase the risk that we will not have sufficient quantities of our product candidates or other products, or necessary quantities of such materials on time or at an acceptable cost.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rely on third-party manufacturers to supply the quantities of ABI-H0731, ABI-H2158 and ABI-H3733 used in our clinical and nonclinical studies and the drug substance for our Microbiome program. We currently manufacture our microbiome drug product for use in our planned nonclinical studies and early-stage clinical studies; however, we may require third-party manufacturers for subsequent clinical studies or other microbiome drug products. In addition, if any product candidate we might develop or acquire in the future receives FDA or other regulatory approval, we will need to either manufacture commercial quantities of the product on our own or rely on one or more third-party contractors to manufacture our products. The establishment of internal manufacturing capabilities is difficult and costly, and we may not be successful in doing so. If, for any reason, we are unable to establish our own manufacturing capabilities and we are unable to rely on any third-party sources we have identified to manufacture our product candidates, either for clinical studies or, at some future date, for commercial quantities, then we would need to identify and contract with additional or replacement third-party manufacturers to manufacture compounds, drug substance and drug products for nonclinical, clinical and commercial purposes. We might not be successful in identifying additional or replacement third-party manufacturers, or in negotiating acceptable terms with any that we do identify. If we are unable to establish and maintain manufacturing capacity either on our own or through third parties, the development and sales of our products and our financial performance will be materially and adversely affected.</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before we or any of our collaborators can begin to commercially manufacture our product candidates, each manufacturing facility and process is subject to regulatory review. Manufacturing of drugs for clinical and commercial purposes must comply with the FDA’s cGMPs and applicable non-U.S. regulatory requirements. The cGMP requirements govern compliance and documentation policies and procedures. Complying with cGMP and non-U.S. regulatory requirements will require that we expend time, money, and effort in production, recordkeeping, and compliance to assure that the product meets applicable specifications and other requirements. Any manufacturing facility must also pass a pre-approval inspection prior to FDA approval. Failure to pass a pre-approval inspection might significantly delay FDA approval of our product candidates. If we or any of our future collaborators fails to comply with these requirements with respect to the manufacture of any of our product candidates, regulatory action could limit the jurisdictions in which we are permitted to sell our products, if approved. As a result, our business, financial condition, and results of operations might be materially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225" w:lineRule="exact"/>
        <w:rPr>
          <w:sz w:val="20"/>
          <w:szCs w:val="20"/>
          <w:color w:val="auto"/>
        </w:rPr>
      </w:pPr>
    </w:p>
    <w:p>
      <w:pPr>
        <w:jc w:val="both"/>
        <w:ind w:left="34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establish our own manufacturing capabilities, we will need to identify manufacturers for commercial supply on acceptable terms, which we may not be able to do because the number of potential manufacturers is limited, and the FDA must approve any new or replacement contractor. This approval would generally require compliance inspections. In addition, a new manufacturer would have to be educated in, or develop substantially equivalent processes for, production of our products after receipt of FDA approval, if any.</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any third-party manufacturers with whom we contract might be unable to formulate and manufacture our product candidates in the volume and of the quality required to meet our clinical and, if approved, commercial needs in a timely manner.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clinical studies or to produce, store and successfully distribute our products.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70"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Drug manufacturers are subject to ongoing periodic unannounced inspection by the FDA and corresponding state agencies to ensure strict compliance with cGMP and other government regulations and corresponding foreign requirements. Any internal manufacturing facilities we establish may fail to comply, and we would not have complete control over any third-party manufacturers’ compliance, with these regulations and requirements.</w:t>
      </w:r>
    </w:p>
    <w:p>
      <w:pPr>
        <w:spacing w:after="0" w:line="146" w:lineRule="exact"/>
        <w:rPr>
          <w:rFonts w:ascii="Arial" w:cs="Arial" w:eastAsia="Arial" w:hAnsi="Arial"/>
          <w:sz w:val="16"/>
          <w:szCs w:val="16"/>
          <w:color w:val="auto"/>
        </w:rPr>
      </w:pPr>
    </w:p>
    <w:p>
      <w:pPr>
        <w:jc w:val="both"/>
        <w:ind w:left="340" w:right="2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obtain additional intellectual property rights from third parties in order to manufacture our product candidates, and if any third-party manufacturer makes improvements in the manufacturing process for our product candidates, we might not own, or might have to share, the intellectual property rights to the innovation with our licensors.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thereby risking the misappropriation or disclosure of our intellectual property by or to third parties.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contract with third-party manufacturers, we might compete with other companies for access to these manufacturers’ facilities and might be subject to manufacturing delays if the manufacturers give other clients higher priority than us.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these risks could delay our development efforts, nonclinical studies and clinical studies or the approval, if any, of our product candidates by the FDA or applicable non-U.S. regulatory authorities or the commercialization of our product candidates and could result in higher costs or deprive us of potential product revenues. As a result, our business, financial condition, and results of operations might be materially harmed.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or our collaborators cannot compete successfully for market share against other companies, we might not achieve sufficient product revenues and our business will suffer.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product candidates receive approval from the FDA or applicable non-U.S. regulatory authorities, they will compete with a number of existing and future drugs and biologics developed, manufactured and marketed by others. Existing or future competing drugs might provide greater therapeutic convenience or clinical or other benefits for a specific indication than our product candidates or might offer comparable performance at a lower cost. If our product candidates fail to capture and maintain market share, we might not achieve sufficient product revenues and our business will suffer.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might compete against fully integrated pharmaceutical or biotechnology companies and smaller companies that are collaborating with larger pharmaceutical companies, academic institutions, government agencies and other public and private research organizations.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1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drugs;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undertaking nonclinical testing and human clinical studies;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FDA and other regulatory approvals of drugs;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formulating and manufacturing drugs;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marketing and selling drugs.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have or be able to obtain the same resources and experience as our competitors. If we are unable to perform these tasks effectively and efficiently, our results of operations might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ulcerative colitis (UC), inflammatory bowel disease (IBD), including Crohn’s disease, irritable bowel syndrome (IBS), nonalcoholic steatohepatitis disease (NASH) and immuno-oncology is rapidly changing; we expect new data from commercial and clinical-stage products to continue to emerge. We will compete with organizations that have existing treatments and that are or will be developing treatments for the indications that our product candidates target. If our competitors develop effective treatments for HBV, UC, IBD, IBS, NASH and immuno-oncology or any other indication or field we might pursue, and successfully commercialize those treatments, our business and prospects might be materially harmed, due to intense competition in these markets.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Companies with microbiome products or core inhibitor products may produce negative clinical data which will adversely affect public perception of our product candidates, and may negatively impact regulatory approval of, or demand for, our potential products.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Negative data from clinical trials using microbiome-based therapies (e.g., fecal transplant) or core inhibitors could negatively impact the perception of the therapeutic use of our microbiome or HBV-cure product candidates. This could negatively impact our ability to enroll patients in clinical trials. The clinical and commercial success of our potential products will depend in part on the public and clinical communities’ acceptance of the use of oral live microbial biotherapeutic products (LBPs) and core inhibitor product candidates. Moreover, our success depends upon physicians prescribing, and their patients being willing to receive, treatments that involve the use of LBPs or core inhibitor product candidates we may develop in lieu of, or in addition to, existing treatments with which they are already familiar and for which greater clinical data may be available. Adverse events in our preclinical studies or clinical trials or those of our competitors or of academic researchers utilizing microbiome therapies or core inhibitor therapies,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our product candidates that are approved, if any, and a decrease in demand for any such products.</w:t>
      </w:r>
    </w:p>
    <w:p>
      <w:pPr>
        <w:spacing w:after="0" w:line="17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product candidates under development in our Microbiome program will be subject to regulation as biologics. These candidates, and any other future product candidates for which we or our collaborators intend to seek approval as biologic products, may face competition sooner than anticipated.</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studies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if product candidates from our Microbiome program are approved as biological products under a BLA, they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not able to develop collaborative marketing relationships with licensees or partners, or create effective internal sales, marketing, and distribution capability, we might be unable to market our products successfully.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market our product candidates, if approved, we will have to establish our own marketing and sales force or out-license our product candidates to, or collaborate with, larger firms with experience in marketing and selling pharmaceutical products. There can be no assurance that we will be able to successfully establish our own marketing capabilities or establish marketing, sales, or distribution relationships with third parties; that such relationships, if established, will be successful; or that we will be successful in gaining market acceptance for our product candidates. To the extent that we enter into any marketing, sales, or distribution arrangements with third parties, our product revenues will be lower than if we marketed and sold our products directly, and any revenues we receive will depend upon the efforts of such third parties. If we are unable to establish such third-party sales and marketing relationships, or choose not to do so, we will have to establish our own in-house capabilities. We, as a company, have no experience in marketing or selling pharmaceutical products and currently have no sales, marketing, or distribution infrastructure. To market any of our products directly, we would need to develop a marketing, sales, and distribution force that both has technical expertise and the ability to support a distribution capability. To establish our own marketing, sales, and distribution capacity would significantly increase our costs, and require substantial additional capital. In addition, there is intense competition for proficient sales and marketing personnel, and we might not be able to attract individuals who have the qualifications necessary to market, sell, and distribute our products. There can be no assurance that we will be able to establish internal marketing, sales, or distribution capabilities.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by physicians, patients, third-party payors and others in the medical community.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products, if approved for marketing, will depend in part on the medical community, patients and third-party payors accepting our product candidates as effective and safe. If these products do not achieve an adequate level of acceptance, we may not generate significant product revenue and may not become profitable. The degree of market acceptance of our products, if approved for marketing, will depend on a number of factors, including:</w:t>
      </w:r>
    </w:p>
    <w:p>
      <w:pPr>
        <w:spacing w:after="0" w:line="18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actual or perceived safety and efficacy of the products, and advantages over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pricing and cost-effectiveness of our products relative to competing products or therapies, including generic drugs or biosimilars, if available;</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labeling of any approved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emergence, and timing of market introduction, of competitive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third-party insurance coverage or governmental reimbursement.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a potential product displays a favorable efficacy and safety profile in nonclinical studies and clinical studies, market acceptance of the product will not be known until after it is launched. Any failure to achieve market acceptance for our product candidates will harm our business, results and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might materially suffer.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highly dependent on the services of our executive officers and senior management team. Our employment agreements with our executive officers and senior management team members do not ensure their retention.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future success also depends, in part, on our ability to identify, hire, and retain additional management team members as our operations grow and our ability to replace our management team members in the event any leave us for any reason. We expect to experience intense competition for qualified personnel and might be unable to attract and retain the personnel necessary for the development of our business. Finally, we do not currently maintain, nor do we intend to obtain in the future, “key man” life insurance that would compensate us in the event of the death or disability of any of the members of our management team.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failure by us to retain, attract and motivate executives and other key employees could have a material adverse impact on our business, financial condition and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If we are unable to hire additional qualified personnel, our ability to grow our business might be harmed.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2019, we had 103 employees and contracts with a number of temporary contractors, consultants and contract research organizations. We will need to hire or contract with additional qualified personnel with expertise in clinical research and testing, formulation and manufacturing and sales and marketing to commercialize our HBV drug candidates and our microbiome biotherapeutic candidates or any other product candidate we may seek to develop. We compete for qualified individuals with numerous biopharmaceutical companies, universities and other research institutions. Competition for these individuals is intense, and we cannot be certain that our search for such personnel will be successful. Attracting and retaining qualified personnel will be critical to our success.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adversely affect our business, results of operations and financial condition.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this data from being compromised, and we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risk of a security breach or disruption, particularly through cyberattacks or cyber intrusion, including by computer hackers, foreign governments and cyberterrorists,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study data from completed or ongoing or planned clinical studies could result in delays in our regulatory approval efforts and significantly increase our costs to recover or reproduce the data.</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(HITECH), and its implementing rules and regulations, as well as regulations promulgated by the Federal Trade Commission, state breach notification law and the European Union’s General Data Protection Regulation (GDPR). We would also be exposed to a risk of loss or litigation and potential liability, which could materially adversely affect our business,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successfully manage our growth.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will depend upon the expansion of our operations and the effective management of our growth, which will place a significant strain on our current and future management and other administrative and operational resources. To manage this growth, we may need to expand our facilities, augment our operational, financial and management systems and hire and train additional qualified personnel. If we are unable to manage our growth effectively, our business would be harmed.</w:t>
      </w:r>
    </w:p>
    <w:p>
      <w:pPr>
        <w:spacing w:after="0" w:line="18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might seek to develop our business through acquisitions of or investment in new or complementary businesses, products or technologies, and the failure to manage these acquisitions or investments, or the failure to integrate them with our existing business, could have a material adverse effect on us.</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might consider opportunities to acquire or invest in other technologies, products and businesses that might enhance our capabilities or complement our current product candidates. Potential and completed acquisitions and strategic investments involve numerous risks, including potential problems or issues associated with the following:</w:t>
      </w:r>
    </w:p>
    <w:p>
      <w:pPr>
        <w:spacing w:after="0" w:line="18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assimilating the purchased technologies, products or business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uniform standards, procedures, controls and policies;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 or investment;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our management’s attention from our preexisting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or obtaining the necessary regulatory approvals or complying with regulatory requirements;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effects on existing business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current commitments with respect to any acquisition or investment in other technologies or businesses. We do not know if we will identify suitable acquisitions, whether we will be able to successfully complete any acquisitions, or whether we will be able to successfully integrate any acquired product, technology or business into our business or retain key personnel, suppliers or collaborators.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develop successfully our business through acquisitions would depend on our ability to identify, negotiate, complete and integrate suitable target businesses or technologies and obtain any necessary financing. These efforts could be expensive and time consuming and might disrupt our ongoing operations. If we are unable to integrate efficiently any acquired business, technology or product into our business, our business and financial condition might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Regulatory and Legal Environment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Product candidates employing our technology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Further, government investigations into potential violations of these laws would require us to expend considerable resources and face adverse publicity and the potential disruption of our business even if we are ultimately found not to have committed a violation. If products employing our technologies are marketed abroad, they will also be subject to extensive regulation by foreign governments, whether or not they have obtained FDA approval for a given product and its uses. Such foreign regulation might be equally or more demanding than corresponding U.S. regulation.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 candidates. The regulatory review and approval process, which includes nonclinical testing and clinical studies of each product candidate, is lengthy, expensive, and uncertain. We or our collaborators must obtain and maintain regulatory authorization to conduct clinical studies and approval for each product we intend to market, and the manufacturing facilities used for the products must be inspected and meet legal requirements. Securing regulatory approval requires submitting extensive nonclinical and clinical data and other supporting information for each proposed therapeutic indication in order to establish the product’s safety and efficacy for each intended use. The development and approval process might take many years, requires substantial resources, and might never lead to the approval of a product.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or our collaborators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Material changes to an approved product, such as, for example, manufacturing changes or revised labeling, might require further regulatory review and approval. Once obtained, any approvals might be withdrawn, including, for example, if there is a later discovery of previously unknown problems with the product, such as a previously unknown safety issue.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among other things,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the applicable regulatory authorities in foreign jurisdictions to commercialize our product candidates in those jurisdictions. In order to obtain FDA approval of any product candidate, we must submit to the FDA an NDA, in the case of our HBV-cure program, or a BLA, in the case of our product candidates in our Microbiome program, demonstrating that the product candidate is safe for humans and effective for its intended use (for biological products, this standard is referred to as safe, pure and potent). This demonstration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or biological products that the FDA considers safe for humans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w:t>
      </w:r>
    </w:p>
    <w:p>
      <w:pPr>
        <w:spacing w:after="0" w:line="17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diminish any competitive advantages that we might otherwise enjoy.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or BLAs. We cannot be sure that we will ever obtain regulatory approval for our product candidates. Failure to obtain FDA approval of our product candidates will severely undermine our business by leaving us without a saleable product, and therefore without any source of revenues, until another product candidate could be developed or obtained. There is no guarantee that we will ever be able to develop an existing, or acquire another, product candidate.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foreign jurisdictions, we must receive approval from the appropriate regulatory authorities before we can commercialize any product candidates. The risks associated with foreign regulatory approval processes are similar to the risks associated with the FDA approval procedures described above. We cannot assure you that we will receive the approvals necessary to commercialize our product candidates for sale outside the United States.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Even if our product candidates are approved, we and our collaborators will be subject to extensive post-approval regulation, including ongoing obligations and continued regulatory review, which may result in significant additional expense. If approved, our product candidates could be subject to post-marketing restrictions or withdrawal from the market and we, or any collaborators, may be subject to substantial penalties if we, or they, fail to comply with regulatory requirements or if we, or they, experience unanticipated problems with our products following approval.</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Once a product candidate is approved, numerous post-approval requirements apply. Among other things, we and our collaborators will be subject to requirements regarding testing, manufacturing, quality control, clinical studies, post-marketing studies, labeling, advertising, promotion, distribution, import and export, governmental pricing, price reporting and rebate requirements. The holder of an approved NDA or BLA is subject to ongoing FDA oversight, monitoring and reporting obligations, including obligations to monitor and report adverse events and instances of the failure of a product to meet the specifications in the NDA or BLA. Application holders must submit new or supplemental applications and obtain FDA approval for changes to the approved product, product labeling, or manufacturing process, depending on the nature of the change. Application holders also must submit advertising and other promotional material to the FDA and report on ongoing clinical studies. The FDA also has the authority to require changes in the labeling of approved drug products and to require post-marketing studies. The FDA can also impose distribution and use restrictions under a REMS.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Advertising and promotional materials must comply with FDA rules in addition to other applicable federal and state laws. The distribution of product samples to physicians must comply with the requirements of the Prescription Drug Marketing Act. Manufacturing facilities remain subject to FDA inspection and must continue to adhere to the FDA’s cGMP requirements. Sales, marketing, and scientific/educational grant programs, among other activities, must comply with the anti-fraud and abuse provisions of the Social Security Act, the False Claims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injunctions, recall or seizure of products, total or partial suspension of production, denial or withdrawal of pre-marketing product approvals, or refusal to allow us to enter into supply contracts, including government contracts. In addition, even if we comply with FDA and other requirements, new information regarding the safety or effectiveness of a product could lead the FDA to modify or withdraw product approval.</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current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an Executive Order was issued directing all executive agencies, including the FDA, that, for each notice of proposed rulemaking or final regulation to be issued in fiscal years 2018 and beyond, the agencies must identify regulations to offset any incremental cost of a new regulation.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Even if we or our collaborators are able to commercialize any product candidates, those products may become subject to unfavorable pricing regulations, third-party coverage and reimbursement practices or healthcare reform initiatives, which would harm our business.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our product candidates obtain marketing approval.</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commercialize successfully any product candidate for which we obtain marketing approval.</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obtain promptly coverage and profitable payment rates from both government-funded and private payors for any approved product candidates that we develop could have a material adverse effect on our operating results, our ability to raise capital needed to commercialize product candidates and our overall financial condition.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76" w:lineRule="auto"/>
        <w:rPr>
          <w:sz w:val="20"/>
          <w:szCs w:val="20"/>
          <w:color w:val="auto"/>
        </w:rPr>
      </w:pPr>
      <w:r>
        <w:rPr>
          <w:rFonts w:ascii="Arial" w:cs="Arial" w:eastAsia="Arial" w:hAnsi="Arial"/>
          <w:sz w:val="17"/>
          <w:szCs w:val="17"/>
          <w:color w:val="auto"/>
        </w:rPr>
        <w:t>In the United States and in other countries, there have been, and we expect there will continue to be, a number of legislative and regulatory proposals to change the healthcare system in ways that could significantly affect our business. International, federal and state lawmakers regularly propose and, at times, enact legislation that would result in significant changes to the healthcare system, some of which are intended to contain or reduce the costs of medical products and services. The U.S. government and other governments have shown significant interest in pursuing healthcare reform, as evidenced by the Affordable Care Act and its amendment, the Health Care and Education Reconciliation Act (the ACA).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(which was increased to 70% as of January 1, 2019 under the Bipartisan Budget Act of 2018 (BBA));</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its enactment, there have been many judicial, Presidential, and Congressional challenges to numerous aspects of the ACA. In 2012, the U.S. Supreme Court heard challenges to the constitutionality of the individual mandate and the viability of certain provisions of the Healthcare Reform Act. The Supreme Court’s decision upheld most of the Healthcare Reform Act and determined that requiring individuals to maintain “minimum essential” health insurance coverage or pay a penalty to the Internal Revenue Service was within Congress’s constitutional taxing authority. However, as a result of tax reform legislation passed in late December 2017, the individual mandate has been eliminated. The long ranging effects of the elimination of the individual mandate on the viability of the ACA are unknown at this time.</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The Tax Cuts and Jobs Act of 2017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Affordable Care Act, and therefore, because it was repealed as part of the Tax Act, the remaining provisions of the ACA are invalid as well. The Texas District Court Judge, as well as the Trump Administration and the Centers for Medicare &amp; Medicaid Services (CMS), have stated that the ruling will have no immediate effect, and on December 30, 2018, the Texas District Court Judge issued an order staying the judgment pending appeal. It is unclear what effects this decision, subsequent appeals of this decision, and other efforts to repeal and replace the ACA will have. Additionally, on January 22, 2018, President Trump signed a continuing resolution on appropriations for fiscal year 2018 that delayed the implementation of certain ACA mandated fees, including the so 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Further, the BBA, among other things, amends the ACA, effective January 1, 2019, to reduce the coverage gap in most Medicare drug plans, commonly referred to as the “donut hole.” In July 2018, CMS announced that it is suspending further collections and payments to and from certain ACA-qualified health plans and health insurance issuers under the ACA risk adjustment program pending the outcome of federal district court litigation regarding the method CMS uses to determine this risk adjustment. The full impact of the ACA, any law repealing and/or replacing elements of it, and the political uncertainty surrounding any repeal or replacement legislation on our business remains unclear.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included aggregate reductions to Medicare payments to providers of up to 2% per fiscal year, starting in 2013.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Further, in some foreign jurisdictions, there have been a number of legislative and regulatory proposals to change the healthcare system in ways that could affect our ability to sell our products profitably. The continuing efforts of U.S. and other governments, insurance companies, managed care organizations and other payors of healthcare services to contain or reduce healthcare costs may adversely affect our ability to set satisfactory prices for our products, to generate revenues from the sale of products, and to achieve and maintain profitability.</w:t>
      </w:r>
    </w:p>
    <w:p>
      <w:pPr>
        <w:spacing w:after="0" w:line="17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without limitation, the federal Anti-Kickback Statute, the federal False Claims Act, and physician payment sunshine laws and regulations. These laws may impact, among other things, our proposed sales, marketing and education programs. In addition, we may be subject to patient privacy regulation by both the federal government and the states and foreign jurisdictions in which we conduct our business. The laws that may affect our ability to operate include:</w:t>
      </w:r>
    </w:p>
    <w:p>
      <w:pPr>
        <w:spacing w:after="0" w:line="193" w:lineRule="exact"/>
        <w:rPr>
          <w:sz w:val="20"/>
          <w:szCs w:val="20"/>
          <w:color w:val="auto"/>
        </w:rPr>
      </w:pPr>
    </w:p>
    <w:p>
      <w:pPr>
        <w:jc w:val="both"/>
        <w:ind w:left="34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w:t>
      </w:r>
    </w:p>
    <w:p>
      <w:pPr>
        <w:spacing w:after="0" w:line="186" w:lineRule="exact"/>
        <w:rPr>
          <w:rFonts w:ascii="Arial" w:cs="Arial" w:eastAsia="Arial" w:hAnsi="Arial"/>
          <w:sz w:val="18"/>
          <w:szCs w:val="18"/>
          <w:color w:val="auto"/>
        </w:rPr>
      </w:pPr>
    </w:p>
    <w:p>
      <w:pPr>
        <w:jc w:val="both"/>
        <w:ind w:left="340" w:hanging="332"/>
        <w:spacing w:after="0" w:line="29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64"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 and the Public Health Service Act (PHSA), which prohibits, among other things, the introduction into interstate commerce of a biological product unless a biologics license is in effect for that product;</w:t>
      </w:r>
    </w:p>
    <w:p>
      <w:pPr>
        <w:spacing w:after="0" w:line="181"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and</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regulators globally are also imposing greater monetary fines for privacy violations. The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Compliance with the GDPR and other changes in laws or regulations associated with the enhanced protection of certain types of personal data, such as healthcare data or other sensitive information, could greatly increase our cost of developing our products and services or even prevent us from offering certain products in jurisdictions that we may operate in.</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outside the United States will also likely subject us to non-U.S. equivalents of the healthcare laws mentioned above, among other non-U.S. laws.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current controls and any new controls that we develop in the future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be required to include in our periodic reports that will be filed with the SEC. If we were to have ineffective disclosure controls and procedures or internal control over financial reporting, our investors could lose confidence in our reported financial and other information, which would likely have a negative effect on the market price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exposes us to the risk of product liability claims that are inherent in the development of drugs and biotherapeutics.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We intend to expand our insurance coverage to include product liability insurance covering the sale of commercial products if we obtain marketing approval for our drug candidates in development, but we might be unable to obtain commercially reasonable product liability insurance for any products approved for marketing.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the liability. Any successful product liability claims or series of claims brought against us would decrease our cash and could cause the value of our common stock to decrease.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adversely affect our business, financial condition and results of operations. We currently do not carry hazardous materials liability insurance. We intend to obtain such insurance in the future, if necessary, but cannot give assurance that we could obtain such coverage.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result in significant liability for us and harm our reputation.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intentional failure to:</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340" w:right="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laws;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Misconduct could also involve the improper use or misrepresentation of information obtained in the course of clinical studies, creating fraudulent data in our nonclinical studies or clinical studies or illegal misappropriation of product materials, which could result in regulatory sanctions, delays in clinical studies, or serious harm to our reputation. We have adopted a code of conduct for our directors, officers and employees (the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(collectively, Trade Laws). We can face serious consequences for violations.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Among other matters,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particularly in China, to increase in time. We engage third parties for clinical studies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international operations, including in China, and conduct clinical studies outside of the United States. A number of risks associated with international operations could materially and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23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different reimbursement systems and different competitive drugs indicated to treat the indication for which our product candidates are being developed;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tariffs, war and terrorism, or natural disasters.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 may have a negative effect on global economic conditions, financial markets and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2016, the United Kingdom (UK) held a referendum in which voters approved an exit from the EU, commonly referred to as “Brexit.” This referendum has created political and economic uncertainty, particularly in the UK and the EU, and this uncertainty may persist for years. A withdrawal could, among other outcomes, disrupt the free movement of goods, services and people between the UK and the EU, and result in increased legal and regulatory complexities, as well as potential higher costs of conducting business in Europe. The UK’s vote to exit the EU could also result in similar referendums or votes in other European countries in which we do business. Given the lack of comparable precedent, it is unclear what financial, trade and legal implications the withdrawal of the UK from the EU would have and how such withdrawal would affect us.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example, Brexit could result in the UK or the EU significantly altering its regulations affecting the clearance or approval of our product candidates that are developed in the UK. Any new regulations could add time and expense to the conduct of our business, as well as the process by which our products receive regulatory approval in the UK, the EU and elsewhere. In addition, the announcement of Brexit and the withdrawal of the UK from the EU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and our licensors, IURTC and Therabiome,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seek to protect our proprietary position by filing patent applications in the United States and abroad related to our novel technologies and chemical and biological compositions that are important to our business. To date, we and our licensors have filed patent applications intended to cover our products candidates and their methods of use. Although we have an issued patent in the U.S. directed to compositions of matter that includes ABI-H0731, which is expected to expire in 2035, and we have an in-licensed issued U.S. patent related to delivery technology for our Microbiome program, which is expected to expire in 2034, we do not own or have any rights to any issued patents that cover any of our other product candidates, and we cannot be certain that we will secure any rights to any issued patents with claims that cover any of our proprietary product candidates and technologies.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patent process also is subject to numerous risks and uncertainties, and there can be no assurance that we will be successful in protecting our products by obtaining and defending patents. These risks and uncertainties include the following:</w:t>
      </w:r>
    </w:p>
    <w:p>
      <w:pPr>
        <w:spacing w:after="0" w:line="17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patent rights, if obtained, might be challenged, invalidated, or circumvented, or otherwise might not provide any competitive advantage;</w:t>
      </w:r>
    </w:p>
    <w:p>
      <w:pPr>
        <w:spacing w:after="0" w:line="23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might make significant investments in competing technologies, might seek, or might already have obtained, patents that will limit, interfere with, or eliminate our ability to make, use, and sell our potential products either in the United States or in international markets;</w:t>
      </w:r>
    </w:p>
    <w:p>
      <w:pPr>
        <w:spacing w:after="0" w:line="18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a matter of public policy regarding worldwide health concerns, there might be significant pressure on the U.S. government and other international governmental bodies to limit the scope of patent protection both inside and outside the United States for disease treatments that prove successful; and</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Countries other than the United States might have patent laws that provide less protection than those governing U.S. courts, allowing foreign competitors the ability to exploit these laws to create, develop, and market competing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 Patent and Trademark Office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right="20"/>
        <w:spacing w:after="0" w:line="308" w:lineRule="auto"/>
        <w:rPr>
          <w:sz w:val="20"/>
          <w:szCs w:val="20"/>
          <w:color w:val="auto"/>
        </w:rPr>
      </w:pPr>
      <w:r>
        <w:rPr>
          <w:rFonts w:ascii="Arial" w:cs="Arial" w:eastAsia="Arial" w:hAnsi="Arial"/>
          <w:sz w:val="17"/>
          <w:szCs w:val="17"/>
          <w:color w:val="auto"/>
        </w:rPr>
        <w:t>Patent and other intellectual property protection is crucial to the success of our business and prospects, and there is a substantial risk that such protections, if obtained, will prove inadequate. Our business and prospects will be harmed if we fail to obtain these protections or they prove insufficient.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obtained rights to develop, market and sell some of our product candidates and technologies through intellectual property license agreements with third parties, including IURTC and Therabiome. These license agreements impose various diligence, milestone payment, royalty and other obligations on us. If we fail to comply with our obligations under our license agreements,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choose to go to court to stop another party from using the inventions claimed in any patents we obtain, that individual or company has the right to ask the court to rule that such patents are invalid or should not be enforced against that third party. These lawsuits are expensive and would consume time and resources and divert the attention of managerial and scientific personnel even if we were successful in stopping the infringement of such patents. There is a risk that the court will decide that such patents are not valid and that we do not have the right to stop the other party from using the inventions. There is also the risk that, even if the validity of such patents is upheld, the court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trade secret protections through confidentiality agreements with our employees, collaborators and other parties, and the breach of these agreements could adversely affect our business and prospects.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trade secrets and proprietary know-how, which we seek to protect, in part, through confidentiality, invention, and nondisclosure agreements with our employees, scientific advisors, consultants, collaborators, suppliers, and other parties. There can be no assurance that these agreements will not be breached, that we would have adequate remedies for any such breach or that our trade secrets will not otherwise become known to or independently developed by our competitors. If any of these events occurs, or we otherwise lose protection for our trade secrets or proprietary know-how, the value of this information may be greatly reduced.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employees or consultants breach their confidentiality obligations, to be able to enforce these confidentiality provisions, we would need to know of the breach and have sufficient funds to enforce the provisions. We cannot assure you that we would know of or be able to afford enforcement of any breach. In addition, such provisions are subject to state law and interpretation by courts, which could limit the scope and duration of these provisions. Any limitation on or non-enforcement of these confidentiality provisions could have an adverse effect on our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third party may claim that we are using inventions covered by the third party's patent rights and may go to court to stop us from engaging in our normal operations and activities, including making or selling our product candidates. Patent litigation is costly and time consuming. We may not have sufficient resources to address these actions, and such actions could affect our results of operations and divert the attention of managerial and scientific personnel.</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in order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monetary damages, encounter significant delays in bringing our product candidates to market and be precluded from manufacturing or selling our product candidates, any of which could harm our business significantly.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Composition-of-matter patents relating to the active pharmaceutical ingredient (API)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The effects of this change and other elements of the AIA are currently unclear, as the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any variety of proceedings challenging our patents and patent applications or the patents and patent applications of others, and the outcome of any such proceedings are highly uncertain. An unfavorable outcome in any such proceedings could reduce the scope of, invalidate, and/or find our patent rights unenforceable, allowing third parties to commercialize our technology and compete directly with us, or result in our inability to manufacture, develop or commercialize our product candidates without infringing the patent rights of others. In addition to ongoing changes with the AIA and USPTO regulations, recent decisions of the Supreme Court of the United States, and the possibility of statutory change to patent subject matter eligibility law advocated by such groups as the Intellectual Property Owners Association and the American Intellectual Property Law Association, provide additional uncertainty.</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anticipate increasing our activity and commercializing our product candidates,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some of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developing an extensive worldwide patent portfolio. The cost of maintaining our patent protection is high and maintaining our patent protection requires continuous review and compliance in order to maintain worldwide patent protection. We may not be able to maintain effectively our intellectual property position throughout the major markets of the world.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enforce effectively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24" w:lineRule="exact"/>
        <w:rPr>
          <w:sz w:val="20"/>
          <w:szCs w:val="20"/>
          <w:color w:val="auto"/>
        </w:rPr>
      </w:pPr>
    </w:p>
    <w:p>
      <w:pPr>
        <w:ind w:left="340" w:right="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file patent applications covering certain of our inventions.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common stock on the Nasdaq Global Select Market.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the Nasdaq Global Select Market under the symbol “ASMB.” We might not be able to maintain the listing standards of that exchange. If we fail to maintain the listing requirements, our common stock might trade on the OTC Bulletin Board or in the “pink sheets” maintained by OTC Markets Group Inc. These alternative markets are generally considered to be markets that are less efficient and less broad than the Nasdaq Global Select Market. A delisting of our common stock from the Nasdaq Global Select Market and our inability to list the stock on another national securities exchange could negatively impact us by: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merger with Assembly Pharmaceuticals on July 11, 2014 through March 31, 2019, the closing price of our common stock has fluctuated between $4.54 and $64.16. Continued volatility in the market price of our common stock might prevent a stockholder from being able to sell shares of our common stock at or above the price paid for such shares. The trading price of our common stock might be volatile and subject to wide price fluctuations in response to various factors, including:</w:t>
      </w:r>
    </w:p>
    <w:p>
      <w:pPr>
        <w:spacing w:after="0" w:line="18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results and timing of our clinical studies and nonclinical studies and other studies involving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 or failure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receipt or loss of required regulatory approvals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issuances by us of our common stock or securities exercisable for or convertible into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 of shares of our common stock by our significant stockholders or members of our management;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industry;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or the announcement of any changes to our credit rating;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introduction of new products or announcements of significant contracts, acquisitions or capital commitments by us or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overall performance of the equity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which might limit or prevent investors from readily selling their shares of our common stock and might otherwise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our share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2019, our executive officers and directors owned approximately 6.3% of our outstanding voting common stock, and this group together with other stockholders holding beneficially 5% of more of our outstanding voting common stock, owned approximately 41.9% of our outstanding voting common stock. Therefore, these stockholders, if acting together, have the ability to influence us through their ownership position. These stockholders may be able to determine the outcome of certain significant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and credit carryforwards to offset future taxable income may be subject to certain limitations.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2018, we had potentially utilizable gross Federal net operating loss carryforwards of approximately $209.2 million, State net operating loss carryforwards of approximately $209.0 million, Federal and California research and development credit carryforwards of approximately $3.6 million and $2.4 million, respectively, all of which expire between 2027 and 2038. Our ability to utilize our net operating loss and credit carryforwards is dependent upon our ability to generate taxable income in future periods and may be limited due to restrictions imposed on utilization of net operating loss and credit carryforwards under federal and state laws upon a change in ownership.</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Sections 382 and 383 of the Internal Revenue Code of 1986, as amended, a corporation that undergoes an “ownership change,” is subject to annual limitations on its ability to use its pre-change net operating loss carryforwards (NOLs) and other pre-change tax attributes (such as research tax credits) to offset its post-change income or taxes.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We have determined that an ownership change occurred in each of December 2010, January 2013 and October 2014. The result of these ownership changes is that approximately $40.0 million of our approximately $153.2 million of net operating losses will not be available to us to offset future taxable income. In addition, we may experience ownership changes in the future, some of which are outside our control. Accordingly, we may not be able to utilize a material portion of our net operating losses or credits. Limitations on our ability to utilize our net operating losses to offset U.S. federal taxable income could potentially result in increased future tax liability to us. In addition, at the state level, there may be periods during which the use of net operating losses is suspended or otherwise limited, which could accelerate or permanently increase state taxes owed.</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U.S. federal net operating losses incurred in taxable periods beginning before January 1, 2018 generally may be carried forward for up to 20 years, the annual limitation may effectively provide a cap on the cumulative amount of pre-ownership change losses, including certain recognized built-in losses that may be utilized. Such pre-ownership change losses in excess of the cap may be lost. In addition, if an ownership change were to occur, it is possible that the limitations imposed on our ability to use pre-ownership change losses and certain recognized built-in losses could cause a net increase in our U.S. federal income tax liability and require U.S. federal income taxes to be paid earlier than otherwise would be paid if such limitations were not in effect. Further, if for financial reporting purposes the amount or value of these deferred tax assets is reduced, such reduction would have a negative impact on the book value of our common stock.</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under the Tax Act, the amount of U.S. federal net operating losses generated in taxable periods beginning after December 31, 2017 that we are permitted to deduct in any taxable year is limited to 80% of our taxable income in such year, where taxable income is determined without regard to the NOL deduction itself. The Tax Act generally eliminates the ability to carry back any post-2017 NOL to prior taxable years, while allowing unused post-2017 NOLs to be carried forward indefinitely. There is a risk that due to ownership changes, changes in law or other unforeseen reasons, our existing NOLs could expire or otherwise be unavailable to offset future income tax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 and our stock may not appreciate in value.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add to our operating costs and might strain our resources and distract our management.</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public company, we face increased legal, accounting, administrative and other costs and expenses not faced by private companies. We are subject to the reporting requirements of the Exchange Act, which requires that we file annual, quarterly and current reports with respect to our business and financial condition, and the rules and regulations implemented by the SEC, the Sarbanes-Oxley Act, and the listing standards of the Nasdaq Global Select Market, each of which imposes additional reporting and other obligations on public companies. Although we are currently unable to estimate these costs with any degree of certainty, we expect that the requirements of these rules and regulations will continue to increase our legal, accounting and financial compliance costs, make some activities more difficult, time consuming and costly and place significant strain on our personnel, systems and resources. These increased costs will require us to divert a significant amount of money that we could otherwise use to develop our product candidates or otherwise expand our business. Complying with these requirements might divert management’s attention from other business concerns, which could have a material adverse effect on our prospects, business, and financial condition. If we are unable to satisfy our obligations as a public company, we could be subject to delisting of our common stock, fines, sanctions and other regulatory action and potentially civil litigation.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112" w:gutter="0" w:footer="0" w:header="0"/>
        </w:sectPr>
      </w:pPr>
    </w:p>
    <w:bookmarkStart w:id="54" w:name="page55"/>
    <w:bookmarkEnd w:id="54"/>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Several provisions of the Delaware General Corporation Law and our charter documents could discourage, delay or prevent a merger or acquisition, which could adversely affect the market price of our securities.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Several provisions of the Delaware General Corporation Law and our charter documents could discourage, delay or prevent a merger or acquisition that stockholders may consider favorable, and the market price of our securities could be reduced as a result. These provisions may include:</w:t>
      </w:r>
    </w:p>
    <w:p>
      <w:pPr>
        <w:spacing w:after="0" w:line="147" w:lineRule="exact"/>
        <w:rPr>
          <w:sz w:val="20"/>
          <w:szCs w:val="20"/>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stockholders’ approval;</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prohibiting us from engaging in a “business combination” with an “interested stockholder” for a period of three years after the date of the transaction in which the person became an interested stockholder unless certain provisions are met;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analysts downgrade our stock or cease coverage of us, the price of our stock could decline.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Currently, a limited number of financial analysts publish reports about us and our business. We do not control these analysts or any other analysts. Furthermore, there are many large, well-established, publicly traded companies active in our industry and market, which may mean that it is less likely that we will receive widespread analyst coverage. If any analyst who covers us downgrades our stock, our stock price would likely decline rapidly. If one or more analysts cease coverage of our company, we could lose visibility in the market, which in turn could cause our stock price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22, 2019, the Company reported that Uri A. Lopatin, Chief Medical Officer, will transition to a clinical and scientific advisor role effective as of the close of business on May 6, 2019 (the “Separation Date”). On May 6, 2019, Dr. Lopatin and the Company entered into (1) a Separation Agreement and General Release of Claims (the “Separation Agreement”), and (2) a Consulting Agreement (the “Consulting Agreement”). The Separation Agreement will be effective on the eighth day following execution if not revoked and the Consulting Agreement will be effective as of May 7, 2019.</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terms of the Separation Agreement and consistent with the terms of Dr. Lopatin’s employment agreement, except to the extent modified by the Separation Agreement, upon the Separation Agreement becoming effective, Dr. Lopatin is entitled to receive the following benefits: (1) a lump sum payment equal to twelve months of his final base salary for an aggregate amount of $410,000; (2) immediate vesting of all equity awards that would have vested within six months following the Separation Date; (3) with respect to those stock options granted prior to 2018 that were vested on the Separation Date, the extension of the post-termination exercise period for all such vested stock options until term; (4) with respect to those stock options granted in 2018 that are vested on the Separation Date or vest during the term of the Consulting Agreement, the extension of the post-termination exercise period for all such vested stock options until the later of the first anniversary of the termination date and 90 days following the termination of Dr. Lopatin’s continuous service to the Company, but not later than the expiration date of the options; (5) to the extent unvested as of the effective date of the Consulting Agreement, each of Dr. Lopatin’s outstanding equity awards shall be modified to provide that upon the termination of his continuous service to the Company for any reason other than for Cause within 6 months following the occurrence of a Corporate Transaction (as defined in the applicable stock incentive plan), all unvested equity awards shall immediately vest; and (6) if Dr. Lopatin properly elects COBRA, the Company’s payment of Dr. Lopatin’s COBRA premiums for 18 months following the Separation Date or until Dr. Lopatin becomes eligible to receive benefits under another employer’s health insurance. For purposes of vesting and post-termination exercise period for options, Dr. Lopatin will be deemed to be in “continuous service” while he is performing services under the Consulting Agreement.</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Consulting Agreement, Dr. Lopatin will provide consulting services as a clinical and scientific advisor until December 31, 2020 and will serve as interim chief medical officer through July 31, 2019, unless earlier terminated by either party upon 90 days’ written notice or without notice for cause or refusal or inability to perform the services, including by reason of death or disability. As a consultant to the Company, Dr. Lopatin will receive $26,000 per month (prorated for any partial month) through July 31, 2019 and $8,600 per month (prorated for any partial month) for the remainder of the Consulting Agreement’s term. If Dr. Lopatin's consultant service hours in any month exceed that month's anticipated number of consultant service hours by more than 10%, then Dr. Lopatin is entitled to assess additional fees of $220 per service hour or $110 per hour of travel outside of the San Francisco Bay Area.</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descriptions of the Separation Agreement and Consulting Agreement contained herein do not purport to be complete and are qualified in their entirety by reference to the complete text of the Separation Agreement and Consulting Agreement, which will be filed as exhibits to the Company’s Quarterly Report on Form 10-Q for the period ended June 30, 2019.</w:t>
      </w:r>
    </w:p>
    <w:p>
      <w:pPr>
        <w:sectPr>
          <w:pgSz w:w="11900" w:h="16918" w:orient="portrait"/>
          <w:cols w:equalWidth="0" w:num="1">
            <w:col w:w="11420"/>
          </w:cols>
          <w:pgMar w:left="240" w:top="908" w:right="239" w:bottom="0" w:gutter="0" w:footer="0" w:header="0"/>
        </w:sectPr>
      </w:pPr>
    </w:p>
    <w:bookmarkStart w:id="55" w:name="page56"/>
    <w:bookmarkEnd w:id="55"/>
    <w:p>
      <w:pPr>
        <w:jc w:val="center"/>
        <w:ind w:right="-4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7340" w:type="dxa"/>
            <w:vAlign w:val="bottom"/>
            <w:gridSpan w:val="8"/>
          </w:tcPr>
          <w:p>
            <w:pPr>
              <w:spacing w:after="0"/>
              <w:rPr>
                <w:sz w:val="20"/>
                <w:szCs w:val="20"/>
                <w:color w:val="auto"/>
              </w:rPr>
            </w:pPr>
            <w:r>
              <w:rPr>
                <w:rFonts w:ascii="Arial" w:cs="Arial" w:eastAsia="Arial" w:hAnsi="Arial"/>
                <w:sz w:val="18"/>
                <w:szCs w:val="18"/>
                <w:b w:val="1"/>
                <w:bCs w:val="1"/>
                <w:color w:val="auto"/>
              </w:rPr>
              <w:t>Item 6. Exhibits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7340" w:type="dxa"/>
            <w:vAlign w:val="bottom"/>
            <w:gridSpan w:val="8"/>
          </w:tcPr>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Incorporated</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04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w:t>
            </w: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Filed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by Reference</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1040" w:type="dxa"/>
            <w:vAlign w:val="bottom"/>
            <w:gridSpan w:val="3"/>
          </w:tcPr>
          <w:p>
            <w:pPr>
              <w:ind w:left="140"/>
              <w:spacing w:after="0"/>
              <w:rPr>
                <w:sz w:val="20"/>
                <w:szCs w:val="20"/>
                <w:color w:val="auto"/>
              </w:rPr>
            </w:pPr>
            <w:r>
              <w:rPr>
                <w:rFonts w:ascii="Arial" w:cs="Arial" w:eastAsia="Arial" w:hAnsi="Arial"/>
                <w:sz w:val="18"/>
                <w:szCs w:val="18"/>
                <w:b w:val="1"/>
                <w:bCs w:val="1"/>
                <w:color w:val="auto"/>
              </w:rPr>
              <w:t>Number</w:t>
            </w:r>
          </w:p>
        </w:tc>
        <w:tc>
          <w:tcPr>
            <w:tcW w:w="6300" w:type="dxa"/>
            <w:vAlign w:val="bottom"/>
            <w:gridSpan w:val="5"/>
          </w:tcPr>
          <w:p>
            <w:pPr>
              <w:ind w:left="2140"/>
              <w:spacing w:after="0"/>
              <w:rPr>
                <w:sz w:val="20"/>
                <w:szCs w:val="20"/>
                <w:color w:val="auto"/>
              </w:rPr>
            </w:pPr>
            <w:r>
              <w:rPr>
                <w:rFonts w:ascii="Arial" w:cs="Arial" w:eastAsia="Arial" w:hAnsi="Arial"/>
                <w:sz w:val="18"/>
                <w:szCs w:val="18"/>
                <w:b w:val="1"/>
                <w:bCs w:val="1"/>
                <w:color w:val="auto"/>
              </w:rPr>
              <w:t>Description of Document</w:t>
            </w: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from</w:t>
            </w:r>
          </w:p>
        </w:tc>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Date</w:t>
            </w:r>
          </w:p>
        </w:tc>
        <w:tc>
          <w:tcPr>
            <w:tcW w:w="840" w:type="dxa"/>
            <w:vAlign w:val="bottom"/>
          </w:tcPr>
          <w:p>
            <w:pPr>
              <w:ind w:left="200"/>
              <w:spacing w:after="0"/>
              <w:rPr>
                <w:sz w:val="20"/>
                <w:szCs w:val="20"/>
                <w:color w:val="auto"/>
              </w:rPr>
            </w:pPr>
            <w:r>
              <w:rPr>
                <w:rFonts w:ascii="Arial" w:cs="Arial" w:eastAsia="Arial" w:hAnsi="Arial"/>
                <w:sz w:val="18"/>
                <w:szCs w:val="18"/>
                <w:b w:val="1"/>
                <w:bCs w:val="1"/>
                <w:color w:val="auto"/>
                <w:w w:val="91"/>
              </w:rPr>
              <w:t>Number</w:t>
            </w:r>
          </w:p>
        </w:tc>
      </w:tr>
      <w:tr>
        <w:trPr>
          <w:trHeight w:val="392"/>
        </w:trPr>
        <w:tc>
          <w:tcPr>
            <w:tcW w:w="420" w:type="dxa"/>
            <w:vAlign w:val="bottom"/>
            <w:gridSpan w:val="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620" w:type="dxa"/>
            <w:vAlign w:val="bottom"/>
          </w:tcPr>
          <w:p>
            <w:pPr>
              <w:spacing w:after="0"/>
              <w:rPr>
                <w:sz w:val="24"/>
                <w:szCs w:val="24"/>
                <w:color w:val="auto"/>
              </w:rPr>
            </w:pPr>
          </w:p>
        </w:tc>
        <w:tc>
          <w:tcPr>
            <w:tcW w:w="6300" w:type="dxa"/>
            <w:vAlign w:val="bottom"/>
            <w:gridSpan w:val="5"/>
          </w:tcPr>
          <w:p>
            <w:pPr>
              <w:spacing w:after="0"/>
              <w:rPr>
                <w:rFonts w:ascii="Arial" w:cs="Arial" w:eastAsia="Arial" w:hAnsi="Arial"/>
                <w:sz w:val="18"/>
                <w:szCs w:val="18"/>
                <w:color w:val="0000EE"/>
                <w:w w:val="97"/>
              </w:rPr>
            </w:pPr>
            <w:hyperlink w:anchor="page59">
              <w:r>
                <w:rPr>
                  <w:rFonts w:ascii="Arial" w:cs="Arial" w:eastAsia="Arial" w:hAnsi="Arial"/>
                  <w:sz w:val="18"/>
                  <w:szCs w:val="18"/>
                  <w:color w:val="0000EE"/>
                  <w:w w:val="97"/>
                </w:rPr>
                <w:t>Certification of Chief Executive Officer and Principal Financial Officer Pursuant to</w:t>
              </w:r>
            </w:hyperlink>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Section 302 of the Sarbanes-Oxley Act of 2002.</w:t>
              </w:r>
            </w:hyperlink>
          </w:p>
        </w:tc>
        <w:tc>
          <w:tcPr>
            <w:tcW w:w="2560" w:type="dxa"/>
            <w:vAlign w:val="bottom"/>
            <w:tcBorders>
              <w:top w:val="single" w:sz="8" w:color="0000EE"/>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X</w:t>
              </w:r>
            </w:hyperlink>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620" w:type="dxa"/>
            <w:vAlign w:val="bottom"/>
          </w:tcPr>
          <w:p>
            <w:pPr>
              <w:spacing w:after="0"/>
              <w:rPr>
                <w:sz w:val="17"/>
                <w:szCs w:val="17"/>
                <w:color w:val="auto"/>
              </w:rPr>
            </w:pPr>
          </w:p>
        </w:tc>
        <w:tc>
          <w:tcPr>
            <w:tcW w:w="60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Certification of Chief Executive Officer and Principal Financial Officer Pursuant to</w:t>
              </w:r>
            </w:hyperlink>
          </w:p>
        </w:tc>
        <w:tc>
          <w:tcPr>
            <w:tcW w:w="280" w:type="dxa"/>
            <w:vAlign w:val="bottom"/>
            <w:gridSpan w:val="2"/>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60">
              <w:r>
                <w:rPr>
                  <w:rFonts w:ascii="Arial" w:cs="Arial" w:eastAsia="Arial" w:hAnsi="Arial"/>
                  <w:sz w:val="18"/>
                  <w:szCs w:val="18"/>
                  <w:color w:val="0000EE"/>
                  <w:w w:val="99"/>
                </w:rPr>
                <w:t>X</w:t>
              </w:r>
            </w:hyperlink>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00" w:type="dxa"/>
            <w:vAlign w:val="bottom"/>
            <w:gridSpan w:val="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Section 906 of the Sarbanes-Oxley Act of 2002.</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Financials in XBRL format.</w:t>
            </w:r>
          </w:p>
        </w:tc>
        <w:tc>
          <w:tcPr>
            <w:tcW w:w="2840" w:type="dxa"/>
            <w:vAlign w:val="bottom"/>
            <w:gridSpan w:val="4"/>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X</w:t>
            </w: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2" w:lineRule="exact"/>
        <w:rPr>
          <w:sz w:val="20"/>
          <w:szCs w:val="20"/>
          <w:color w:val="auto"/>
        </w:rPr>
      </w:pPr>
    </w:p>
    <w:p>
      <w:pPr>
        <w:jc w:val="both"/>
        <w:ind w:left="120" w:hanging="112"/>
        <w:spacing w:after="0" w:line="259" w:lineRule="auto"/>
        <w:tabs>
          <w:tab w:leader="none" w:pos="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Quarterly Report on Form 10-Q is not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right="260"/>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22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9, 2019</w:t>
            </w:r>
          </w:p>
        </w:tc>
        <w:tc>
          <w:tcPr>
            <w:tcW w:w="2680" w:type="dxa"/>
            <w:vAlign w:val="bottom"/>
          </w:tcPr>
          <w:p>
            <w:pPr>
              <w:ind w:left="22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A. Small</w:t>
            </w:r>
          </w:p>
        </w:tc>
      </w:tr>
      <w:tr>
        <w:trPr>
          <w:trHeight w:val="195"/>
        </w:trPr>
        <w:tc>
          <w:tcPr>
            <w:tcW w:w="35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Derek A. Small</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Executive Officer and Principal Financial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9, 2019</w:t>
            </w:r>
          </w:p>
        </w:tc>
        <w:tc>
          <w:tcPr>
            <w:tcW w:w="2680" w:type="dxa"/>
            <w:vAlign w:val="bottom"/>
          </w:tcPr>
          <w:p>
            <w:pPr>
              <w:ind w:left="22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Samar</w:t>
            </w:r>
          </w:p>
        </w:tc>
      </w:tr>
      <w:tr>
        <w:trPr>
          <w:trHeight w:val="195"/>
        </w:trPr>
        <w:tc>
          <w:tcPr>
            <w:tcW w:w="35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Michael P. Samar</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Finance and Business Operations</w:t>
            </w:r>
          </w:p>
        </w:tc>
      </w:t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648"/>
        </w:trPr>
        <w:tc>
          <w:tcPr>
            <w:tcW w:w="35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52</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A. Small, certify that:</w:t>
      </w:r>
    </w:p>
    <w:p>
      <w:pPr>
        <w:spacing w:after="0" w:line="225"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Assembly Biosciences, Inc.;</w:t>
      </w:r>
    </w:p>
    <w:p>
      <w:pPr>
        <w:spacing w:after="0" w:line="225" w:lineRule="exact"/>
        <w:rPr>
          <w:rFonts w:ascii="Arial" w:cs="Arial" w:eastAsia="Arial" w:hAnsi="Arial"/>
          <w:sz w:val="18"/>
          <w:szCs w:val="18"/>
          <w:color w:val="auto"/>
        </w:rPr>
      </w:pPr>
    </w:p>
    <w:p>
      <w:pPr>
        <w:ind w:firstLine="8"/>
        <w:spacing w:after="0" w:line="342" w:lineRule="auto"/>
        <w:tabs>
          <w:tab w:leader="none" w:pos="338"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3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60" w:right="20" w:hanging="1"/>
        <w:spacing w:after="0" w:line="264" w:lineRule="auto"/>
        <w:tabs>
          <w:tab w:leader="none" w:pos="12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60" w:hanging="1"/>
        <w:spacing w:after="0" w:line="264" w:lineRule="auto"/>
        <w:tabs>
          <w:tab w:leader="none" w:pos="12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60" w:right="20" w:hanging="1"/>
        <w:spacing w:after="0" w:line="342" w:lineRule="auto"/>
        <w:tabs>
          <w:tab w:leader="none" w:pos="1289"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60" w:hanging="1"/>
        <w:spacing w:after="0" w:line="264" w:lineRule="auto"/>
        <w:tabs>
          <w:tab w:leader="none" w:pos="129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3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60" w:right="20" w:hanging="1"/>
        <w:spacing w:after="0" w:line="277" w:lineRule="auto"/>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60" w:hanging="1"/>
        <w:spacing w:after="0" w:line="277" w:lineRule="auto"/>
        <w:tabs>
          <w:tab w:leader="none" w:pos="128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8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A. Small</w:t>
            </w:r>
          </w:p>
        </w:tc>
      </w:tr>
      <w:tr>
        <w:trPr>
          <w:trHeight w:val="195"/>
        </w:trPr>
        <w:tc>
          <w:tcPr>
            <w:tcW w:w="64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Derek A. Small</w:t>
            </w:r>
          </w:p>
        </w:tc>
      </w:tr>
      <w:tr>
        <w:trPr>
          <w:trHeight w:val="216"/>
        </w:trPr>
        <w:tc>
          <w:tcPr>
            <w:tcW w:w="6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 and Principal Financial Officer)</w:t>
            </w:r>
          </w:p>
        </w:tc>
      </w:tr>
      <w:tr>
        <w:trPr>
          <w:trHeight w:val="648"/>
        </w:trPr>
        <w:tc>
          <w:tcPr>
            <w:tcW w:w="6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Assembly Biosciences, Inc. (the Company) for the period ended March 31, 2019 as filed with the Securities and Exchange Commission on or about the date hereof (the Report), I, Derek A. Small, Chief Executive Officer, hereby certify, pursuant to 18 U.S.C. Section 1350, as adopted pursuant to Section 906 of the Sarbanes-Oxley Act of 2002, that, to my knowledge:</w:t>
      </w:r>
    </w:p>
    <w:p>
      <w:pPr>
        <w:spacing w:after="0" w:line="181" w:lineRule="exact"/>
        <w:rPr>
          <w:sz w:val="20"/>
          <w:szCs w:val="20"/>
          <w:color w:val="auto"/>
        </w:rPr>
      </w:pPr>
    </w:p>
    <w:p>
      <w:pPr>
        <w:ind w:left="1340" w:hanging="381"/>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right="20" w:hanging="1"/>
        <w:spacing w:after="0" w:line="277" w:lineRule="auto"/>
        <w:tabs>
          <w:tab w:leader="none" w:pos="14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Derek A. Small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Derek A.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2019-12-28T12:27:00Z</dcterms:created>
  <dcterms:modified xsi:type="dcterms:W3CDTF">2019-12-28T12:27:00Z</dcterms:modified>
</cp:coreProperties>
</file>