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McHutchison John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ASSEMBLY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TOWER PLACE, 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ASSEMBLY BIOSCIENCES, INC.</w:t>
              </w:r>
            </w:hyperlink>
            <w:r>
              <w:rPr/>
              <w:t xml:space="preserve"> [ </w:t>
            </w:r>
            <w:r>
              <w:rPr>
                <w:rFonts w:ascii="Times;serif" w:hAnsi="Times;serif"/>
                <w:color w:val="0000FF"/>
                <w:sz w:val="24"/>
                <w:shd w:fill="FFFFFF" w:val="clear"/>
              </w:rPr>
              <w:t>ASMB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757</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9.8481</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18,347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sold by the reporting person to cover tax withholding obligations in connection with the vesting and settlement of restricted stock units. The sale is mandated by an administrative rule adopted by the Compensation Committee of the Issuer's Board of Directors that requires the satisfaction of tax withholding obligations to be funded by a "sell-to-cover"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$9.56 to $10.40, inclusive. The reporting person undertakes to provide the Issuer, any security holder of the Issuer, or the staff of the Securities and Exchange Commission, upon request, full information regarding the number of shares sold at each separate price within.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O. Gunderson,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8125" TargetMode="External"/><Relationship Id="rId5" Type="http://schemas.openxmlformats.org/officeDocument/2006/relationships/hyperlink" Target="http://www.sec.gov/cgi-bin/browse-edgar?action=getcompany&amp;CIK=000142680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707</Words>
  <Characters>3849</Characters>
  <CharactersWithSpaces>4496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